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BD4" w:rsidRPr="003B2BD4" w:rsidRDefault="003B2BD4" w:rsidP="00B52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3B2BD4" w:rsidRPr="003B2BD4" w:rsidRDefault="003B2BD4" w:rsidP="004D44F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5"/>
          <w:lang w:eastAsia="ru-RU"/>
        </w:rPr>
      </w:pPr>
      <w:r w:rsidRPr="003B2BD4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на выполнение работ по техническому обслуживанию</w:t>
      </w:r>
    </w:p>
    <w:p w:rsidR="003B2BD4" w:rsidRPr="003B2BD4" w:rsidRDefault="004D44FE" w:rsidP="004D44F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textAlignment w:val="baseline"/>
        <w:rPr>
          <w:rFonts w:ascii="Times New Roman" w:eastAsia="Times New Roman" w:hAnsi="Times New Roman" w:cs="Times New Roman"/>
          <w:b/>
          <w:bCs/>
          <w:spacing w:val="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                                  </w:t>
      </w:r>
      <w:r w:rsidR="006807BE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холодильного</w:t>
      </w:r>
      <w:r w:rsidR="003B2BD4" w:rsidRPr="003B2BD4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оборудования</w:t>
      </w:r>
    </w:p>
    <w:p w:rsidR="003B2BD4" w:rsidRPr="003B2BD4" w:rsidRDefault="004D44FE" w:rsidP="004D44FE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1134" w:right="227"/>
        <w:textAlignment w:val="baseline"/>
        <w:rPr>
          <w:rFonts w:ascii="Times New Roman" w:eastAsia="Times New Roman" w:hAnsi="Times New Roman" w:cs="Times New Roman"/>
          <w:b/>
          <w:bCs/>
          <w:spacing w:val="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 xml:space="preserve">                                   </w:t>
      </w:r>
      <w:r w:rsidR="003B2BD4" w:rsidRPr="003B2BD4">
        <w:rPr>
          <w:rFonts w:ascii="Times New Roman" w:eastAsia="Times New Roman" w:hAnsi="Times New Roman" w:cs="Times New Roman"/>
          <w:b/>
          <w:bCs/>
          <w:spacing w:val="5"/>
          <w:lang w:eastAsia="ru-RU"/>
        </w:rPr>
        <w:t>для АО «НПО автоматики»</w:t>
      </w:r>
    </w:p>
    <w:p w:rsidR="003B2BD4" w:rsidRPr="003B2BD4" w:rsidRDefault="003B2BD4" w:rsidP="003B2BD4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1989"/>
        <w:gridCol w:w="6541"/>
      </w:tblGrid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выполнению работ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3B2BD4" w:rsidRPr="003B2BD4" w:rsidTr="004914C3">
        <w:tc>
          <w:tcPr>
            <w:tcW w:w="565" w:type="dxa"/>
            <w:vMerge w:val="restart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3B2BD4" w:rsidRPr="003B2BD4" w:rsidTr="004914C3">
        <w:trPr>
          <w:trHeight w:val="164"/>
        </w:trPr>
        <w:tc>
          <w:tcPr>
            <w:tcW w:w="565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АО «НПО автоматики».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Вид закупки: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3B2BD4" w:rsidRPr="003B2BD4" w:rsidRDefault="003B2BD4" w:rsidP="00C41B03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Открытый запрос предложений </w:t>
            </w:r>
            <w:r w:rsidR="00C41B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электронной форме</w:t>
            </w:r>
          </w:p>
        </w:tc>
      </w:tr>
      <w:tr w:rsidR="003B2BD4" w:rsidRPr="003B2BD4" w:rsidTr="004914C3">
        <w:trPr>
          <w:trHeight w:val="373"/>
        </w:trPr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3B2BD4" w:rsidRPr="003B2BD4" w:rsidRDefault="00CA6011" w:rsidP="00863727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</w:t>
            </w:r>
            <w:r w:rsidRPr="00CA60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Услуги по осуществлению сервисного обслуживания холодильного оборудования </w:t>
            </w:r>
            <w:r w:rsidR="003B2BD4" w:rsidRPr="00CA60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для АО «НПО автоматики» (далее – </w:t>
            </w:r>
            <w:r w:rsidR="0086372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услуги</w:t>
            </w:r>
            <w:r w:rsidR="003B2BD4" w:rsidRPr="00CA60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).</w:t>
            </w:r>
          </w:p>
        </w:tc>
      </w:tr>
      <w:tr w:rsidR="003B2BD4" w:rsidRPr="003B2BD4" w:rsidTr="004914C3">
        <w:trPr>
          <w:trHeight w:val="724"/>
        </w:trPr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1989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 xml:space="preserve">Документы, разрабатываемые и </w:t>
            </w:r>
            <w:r w:rsidR="00594629"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применяемые в</w:t>
            </w: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 xml:space="preserve"> национальной системе стандартизации</w:t>
            </w:r>
          </w:p>
        </w:tc>
        <w:tc>
          <w:tcPr>
            <w:tcW w:w="6541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 xml:space="preserve">Технический регламент не утвержден. </w:t>
            </w: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 xml:space="preserve">•Требования, предусмотренные </w:t>
            </w:r>
            <w:r w:rsidR="0062314E" w:rsidRPr="003B2BD4">
              <w:rPr>
                <w:rFonts w:ascii="Times New Roman" w:eastAsia="Calibri" w:hAnsi="Times New Roman" w:cs="Times New Roman"/>
              </w:rPr>
              <w:t>документами национальной системы стандартизации,</w:t>
            </w:r>
            <w:r w:rsidRPr="003B2BD4">
              <w:rPr>
                <w:rFonts w:ascii="Times New Roman" w:eastAsia="Calibri" w:hAnsi="Times New Roman" w:cs="Times New Roman"/>
              </w:rPr>
              <w:t xml:space="preserve"> не применяются.  </w:t>
            </w: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 xml:space="preserve">•К </w:t>
            </w:r>
            <w:r w:rsidR="00863727">
              <w:rPr>
                <w:rFonts w:ascii="Times New Roman" w:eastAsia="Calibri" w:hAnsi="Times New Roman" w:cs="Times New Roman"/>
              </w:rPr>
              <w:t>услугам</w:t>
            </w:r>
            <w:r w:rsidRPr="003B2BD4">
              <w:rPr>
                <w:rFonts w:ascii="Times New Roman" w:eastAsia="Calibri" w:hAnsi="Times New Roman" w:cs="Times New Roman"/>
              </w:rPr>
              <w:t xml:space="preserve"> предъявляются требования, которые определяют потребность </w:t>
            </w:r>
            <w:r w:rsidR="0062314E" w:rsidRPr="003B2BD4">
              <w:rPr>
                <w:rFonts w:ascii="Times New Roman" w:eastAsia="Calibri" w:hAnsi="Times New Roman" w:cs="Times New Roman"/>
              </w:rPr>
              <w:t>Заказчика в</w:t>
            </w:r>
            <w:r w:rsidRPr="003B2BD4">
              <w:rPr>
                <w:rFonts w:ascii="Times New Roman" w:eastAsia="Calibri" w:hAnsi="Times New Roman" w:cs="Times New Roman"/>
              </w:rPr>
              <w:t xml:space="preserve"> соответствии с его технической политикой, согласно которой применение других видов </w:t>
            </w:r>
            <w:r w:rsidR="00863727">
              <w:rPr>
                <w:rFonts w:ascii="Times New Roman" w:eastAsia="Calibri" w:hAnsi="Times New Roman" w:cs="Times New Roman"/>
              </w:rPr>
              <w:t>услуг</w:t>
            </w:r>
            <w:r w:rsidRPr="003B2BD4">
              <w:rPr>
                <w:rFonts w:ascii="Times New Roman" w:eastAsia="Calibri" w:hAnsi="Times New Roman" w:cs="Times New Roman"/>
              </w:rPr>
              <w:t xml:space="preserve"> не допускается, и </w:t>
            </w:r>
            <w:r w:rsidR="0062314E">
              <w:rPr>
                <w:rFonts w:ascii="Times New Roman" w:eastAsia="Calibri" w:hAnsi="Times New Roman" w:cs="Times New Roman"/>
              </w:rPr>
              <w:t>конкретизируются в приложении</w:t>
            </w:r>
            <w:r w:rsidRPr="003A5566">
              <w:rPr>
                <w:rFonts w:ascii="Times New Roman" w:eastAsia="Calibri" w:hAnsi="Times New Roman" w:cs="Times New Roman"/>
              </w:rPr>
              <w:t xml:space="preserve"> к настоящему ТЗ.</w:t>
            </w:r>
          </w:p>
          <w:p w:rsidR="003B2BD4" w:rsidRPr="003B2BD4" w:rsidRDefault="003B2BD4" w:rsidP="003B2BD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1989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541" w:type="dxa"/>
          </w:tcPr>
          <w:p w:rsidR="003B2BD4" w:rsidRPr="003B2BD4" w:rsidRDefault="00863727" w:rsidP="00FF6350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Услуги</w:t>
            </w:r>
            <w:r w:rsidR="003B2BD4" w:rsidRPr="003B2BD4">
              <w:rPr>
                <w:rFonts w:ascii="Times New Roman" w:eastAsia="Calibri" w:hAnsi="Times New Roman" w:cs="Times New Roman"/>
              </w:rPr>
              <w:t xml:space="preserve"> должны </w:t>
            </w:r>
            <w:r w:rsidR="0062314E" w:rsidRPr="003B2BD4">
              <w:rPr>
                <w:rFonts w:ascii="Times New Roman" w:eastAsia="Calibri" w:hAnsi="Times New Roman" w:cs="Times New Roman"/>
              </w:rPr>
              <w:t>выполняться соблюдением</w:t>
            </w:r>
            <w:r w:rsidR="003B2BD4" w:rsidRPr="003B2BD4">
              <w:rPr>
                <w:rFonts w:ascii="Times New Roman" w:eastAsia="Calibri" w:hAnsi="Times New Roman" w:cs="Times New Roman"/>
              </w:rPr>
              <w:t xml:space="preserve"> требований техники безопасности и эксплуатационных документов (руководство по эксплуатации).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1989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541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Calibri" w:hAnsi="Times New Roman" w:cs="Times New Roman"/>
              </w:rPr>
              <w:t>Исполнитель обеспечивает гарантированную наработку и параметры работы оборудования в соответствии с системой ППР, регламентами, планами работ и инструкциями завода-изготовителя.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4.4</w:t>
            </w:r>
          </w:p>
        </w:tc>
        <w:tc>
          <w:tcPr>
            <w:tcW w:w="1989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541" w:type="dxa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1989" w:type="dxa"/>
          </w:tcPr>
          <w:p w:rsidR="003B2BD4" w:rsidRPr="003B2BD4" w:rsidRDefault="003B2BD4" w:rsidP="003B2BD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541" w:type="dxa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1989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541" w:type="dxa"/>
          </w:tcPr>
          <w:p w:rsidR="003B2BD4" w:rsidRPr="003B2BD4" w:rsidRDefault="003B2BD4" w:rsidP="003B2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 xml:space="preserve">            Не предусмотрены.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1989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541" w:type="dxa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4.8</w:t>
            </w:r>
          </w:p>
        </w:tc>
        <w:tc>
          <w:tcPr>
            <w:tcW w:w="1989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541" w:type="dxa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После технического обслуживания оборудование должно иметь технические характеристики, соответствующие эксплуатационным документам (руководство по эксплуатации, паспорт оборудования)</w:t>
            </w:r>
          </w:p>
        </w:tc>
      </w:tr>
      <w:tr w:rsidR="003B2BD4" w:rsidRPr="003B2BD4" w:rsidTr="004914C3">
        <w:tc>
          <w:tcPr>
            <w:tcW w:w="565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4.9</w:t>
            </w:r>
          </w:p>
        </w:tc>
        <w:tc>
          <w:tcPr>
            <w:tcW w:w="1989" w:type="dxa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отгрузке </w:t>
            </w: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продукции</w:t>
            </w:r>
          </w:p>
        </w:tc>
        <w:tc>
          <w:tcPr>
            <w:tcW w:w="6541" w:type="dxa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lastRenderedPageBreak/>
              <w:t>Не предусмотрены.</w:t>
            </w:r>
          </w:p>
        </w:tc>
      </w:tr>
      <w:tr w:rsidR="003B2BD4" w:rsidRPr="003B2BD4" w:rsidTr="004914C3">
        <w:tc>
          <w:tcPr>
            <w:tcW w:w="565" w:type="dxa"/>
            <w:vMerge w:val="restart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Место выполнения работ:</w:t>
            </w:r>
          </w:p>
        </w:tc>
      </w:tr>
      <w:tr w:rsidR="003B2BD4" w:rsidRPr="003B2BD4" w:rsidTr="004914C3">
        <w:tc>
          <w:tcPr>
            <w:tcW w:w="565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spacing w:before="2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- 620043, г. Екатеринбург, ул. Начдива Васильева,1.</w:t>
            </w:r>
          </w:p>
        </w:tc>
      </w:tr>
      <w:tr w:rsidR="003B2BD4" w:rsidRPr="003B2BD4" w:rsidTr="004914C3">
        <w:tc>
          <w:tcPr>
            <w:tcW w:w="565" w:type="dxa"/>
            <w:vMerge w:val="restart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выполнения работ:</w:t>
            </w:r>
          </w:p>
        </w:tc>
      </w:tr>
      <w:tr w:rsidR="003B2BD4" w:rsidRPr="003B2BD4" w:rsidTr="004914C3">
        <w:tc>
          <w:tcPr>
            <w:tcW w:w="565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Сроки выполнения работ:</w:t>
            </w:r>
          </w:p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594629" w:rsidRPr="003B2BD4">
              <w:rPr>
                <w:rFonts w:ascii="Times New Roman" w:eastAsia="Times New Roman" w:hAnsi="Times New Roman" w:cs="Times New Roman"/>
                <w:lang w:eastAsia="ru-RU"/>
              </w:rPr>
              <w:t>начало: с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даты подписания договора.</w:t>
            </w:r>
          </w:p>
          <w:p w:rsidR="003B2BD4" w:rsidRPr="003B2BD4" w:rsidRDefault="00DE7092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17363">
              <w:rPr>
                <w:rFonts w:ascii="Times New Roman" w:eastAsia="Times New Roman" w:hAnsi="Times New Roman" w:cs="Times New Roman"/>
                <w:lang w:eastAsia="ru-RU"/>
              </w:rPr>
              <w:t>окончание: 31</w:t>
            </w:r>
            <w:r w:rsidR="006231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863727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62314E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86372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0116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До начала работ Исполнитель предоставляет Заказчику список работников, задей</w:t>
            </w:r>
            <w:r w:rsidR="00863727">
              <w:rPr>
                <w:rFonts w:ascii="Times New Roman" w:eastAsia="Times New Roman" w:hAnsi="Times New Roman" w:cs="Times New Roman"/>
                <w:lang w:eastAsia="ru-RU"/>
              </w:rPr>
              <w:t>ствованных при выполнении работ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r w:rsidR="00863727">
              <w:rPr>
                <w:rFonts w:ascii="Times New Roman" w:eastAsia="Times New Roman" w:hAnsi="Times New Roman" w:cs="Times New Roman"/>
                <w:lang w:eastAsia="ru-RU"/>
              </w:rPr>
              <w:t>указанием их паспортных данных.</w:t>
            </w:r>
          </w:p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обеспечивает свой технический персонал необходимым для выполнения работ инструментом, оборудованием, и </w:t>
            </w:r>
            <w:proofErr w:type="spellStart"/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т.п</w:t>
            </w:r>
            <w:proofErr w:type="spellEnd"/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, технической документацией, производственными инструкциями и инструкциями по охране труда и технике безопасности и несет ответственность за их исполнение. </w:t>
            </w:r>
          </w:p>
        </w:tc>
      </w:tr>
      <w:tr w:rsidR="003B2BD4" w:rsidRPr="003B2BD4" w:rsidTr="004914C3">
        <w:tc>
          <w:tcPr>
            <w:tcW w:w="565" w:type="dxa"/>
            <w:vMerge w:val="restart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7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работ:</w:t>
            </w:r>
          </w:p>
        </w:tc>
      </w:tr>
      <w:tr w:rsidR="003B2BD4" w:rsidRPr="003B2BD4" w:rsidTr="004914C3">
        <w:tc>
          <w:tcPr>
            <w:tcW w:w="565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3B2BD4" w:rsidRPr="00122C95" w:rsidRDefault="00122C95" w:rsidP="00122C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22C95">
              <w:rPr>
                <w:rFonts w:ascii="Times New Roman" w:hAnsi="Times New Roman" w:cs="Times New Roman"/>
              </w:rPr>
              <w:t>пла</w:t>
            </w:r>
            <w:r>
              <w:rPr>
                <w:rFonts w:ascii="Times New Roman" w:hAnsi="Times New Roman" w:cs="Times New Roman"/>
              </w:rPr>
              <w:t>та услуг</w:t>
            </w:r>
            <w:r w:rsidRPr="00122C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производится</w:t>
            </w:r>
            <w:r w:rsidRPr="00122C95">
              <w:rPr>
                <w:rFonts w:ascii="Times New Roman" w:hAnsi="Times New Roman" w:cs="Times New Roman"/>
              </w:rPr>
              <w:t xml:space="preserve"> в течение 30 (Тридцать) дней с момента подписания Заказчиком акта оказанн</w:t>
            </w:r>
            <w:r>
              <w:rPr>
                <w:rFonts w:ascii="Times New Roman" w:hAnsi="Times New Roman" w:cs="Times New Roman"/>
              </w:rPr>
              <w:t>ых услуг, на основании счёта</w:t>
            </w:r>
            <w:r w:rsidRPr="00122C95">
              <w:rPr>
                <w:rFonts w:ascii="Times New Roman" w:hAnsi="Times New Roman" w:cs="Times New Roman"/>
              </w:rPr>
              <w:t xml:space="preserve"> выставленного Исполнителем.</w:t>
            </w:r>
            <w:bookmarkStart w:id="0" w:name="Par44"/>
            <w:bookmarkEnd w:id="0"/>
          </w:p>
        </w:tc>
      </w:tr>
      <w:tr w:rsidR="003B2BD4" w:rsidRPr="003B2BD4" w:rsidTr="004914C3">
        <w:tc>
          <w:tcPr>
            <w:tcW w:w="565" w:type="dxa"/>
            <w:vMerge w:val="restart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3B2BD4" w:rsidRPr="003B2BD4" w:rsidTr="004914C3">
        <w:tc>
          <w:tcPr>
            <w:tcW w:w="565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В цену договора включаются затраты Исполнителя (Победителя открытого запроса предложений), связанные с </w:t>
            </w:r>
            <w:r w:rsidR="00863727">
              <w:rPr>
                <w:rFonts w:ascii="Times New Roman" w:eastAsia="Times New Roman" w:hAnsi="Times New Roman" w:cs="Times New Roman"/>
                <w:lang w:eastAsia="ru-RU"/>
              </w:rPr>
              <w:t>оказанием услуг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требованиями Технического задания, иными условиями договора, уплатой налогов, таможенных сборов и других обязательных платежей.</w:t>
            </w:r>
          </w:p>
          <w:p w:rsidR="003B2BD4" w:rsidRPr="003B2BD4" w:rsidRDefault="003B2BD4" w:rsidP="00122C95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</w:t>
            </w:r>
            <w:r w:rsidR="00122C95">
              <w:rPr>
                <w:rFonts w:ascii="Times New Roman" w:eastAsia="Times New Roman" w:hAnsi="Times New Roman" w:cs="Times New Roman"/>
                <w:lang w:eastAsia="ru-RU"/>
              </w:rPr>
              <w:t>сформирована с учетом НДС 20%</w:t>
            </w:r>
          </w:p>
        </w:tc>
      </w:tr>
      <w:tr w:rsidR="003B2BD4" w:rsidRPr="003B2BD4" w:rsidTr="004914C3">
        <w:tc>
          <w:tcPr>
            <w:tcW w:w="565" w:type="dxa"/>
            <w:vMerge w:val="restart"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3B2BD4" w:rsidRPr="003B2BD4" w:rsidTr="004914C3">
        <w:tc>
          <w:tcPr>
            <w:tcW w:w="565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u w:val="single"/>
                <w:lang w:eastAsia="ar-SA"/>
              </w:rPr>
              <w:t>Участник</w:t>
            </w:r>
            <w:r w:rsidRPr="003B2BD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закупки должен: </w:t>
            </w:r>
          </w:p>
          <w:p w:rsidR="00DE7092" w:rsidRDefault="003B2BD4" w:rsidP="003B2B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- выполнить рабо</w:t>
            </w:r>
            <w:r w:rsidR="00A80E1F">
              <w:rPr>
                <w:rFonts w:ascii="Times New Roman" w:eastAsia="Times New Roman" w:hAnsi="Times New Roman" w:cs="Times New Roman"/>
                <w:lang w:eastAsia="ru-RU"/>
              </w:rPr>
              <w:t>ты квалифицированным персоналом;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B2BD4" w:rsidRPr="003B2BD4" w:rsidRDefault="003B2BD4" w:rsidP="003B2B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-  иметь в наличии материально – технические ресурсы, необходимые для выполнения работ;</w:t>
            </w:r>
          </w:p>
          <w:p w:rsidR="003B2BD4" w:rsidRPr="003B2BD4" w:rsidRDefault="003B2BD4" w:rsidP="003B2B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- при выполнении работ выполнять требования режима установленного на </w:t>
            </w:r>
            <w:r w:rsidR="00200063">
              <w:rPr>
                <w:rFonts w:ascii="Times New Roman" w:eastAsia="Times New Roman" w:hAnsi="Times New Roman" w:cs="Times New Roman"/>
                <w:lang w:eastAsia="ru-RU"/>
              </w:rPr>
              <w:t xml:space="preserve">предприятии Заказчика, в связи 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с выполнением работ на особо режимном объекте и соблюдать требования закона РФ «О государственной тайне»;</w:t>
            </w:r>
          </w:p>
          <w:p w:rsidR="003B2BD4" w:rsidRPr="003B2BD4" w:rsidRDefault="003B2BD4" w:rsidP="003B2B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- выполнять работы непосредственно своими силами, без привлечения третьих лиц. Сотрудники Исполнителя, привлекаемые для выполнения работ по договору должны быть                гражданами РФ.</w:t>
            </w:r>
          </w:p>
          <w:p w:rsidR="003B2BD4" w:rsidRPr="003B2BD4" w:rsidRDefault="003B2BD4" w:rsidP="003B2B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-  предоставить для выполнения работ достаточное количество специалистов, имеющих профессиональную подготовку и соответствующую квалификацию, необходимую для качественного и своевременного выполнения работ.</w:t>
            </w:r>
          </w:p>
          <w:p w:rsidR="00B5209C" w:rsidRPr="00B5209C" w:rsidRDefault="003B2BD4" w:rsidP="00B5209C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ar-SA"/>
              </w:rPr>
              <w:t>Остальные</w:t>
            </w:r>
            <w:r w:rsidRPr="003B2BD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требования предъявляются к Участнику закупки в соответствии с разделом 10.4 Положения о закупке.</w:t>
            </w:r>
          </w:p>
        </w:tc>
      </w:tr>
      <w:tr w:rsidR="003B2BD4" w:rsidRPr="003B2BD4" w:rsidTr="004914C3">
        <w:tc>
          <w:tcPr>
            <w:tcW w:w="565" w:type="dxa"/>
            <w:vMerge w:val="restart"/>
          </w:tcPr>
          <w:p w:rsidR="003B2BD4" w:rsidRPr="003B2BD4" w:rsidRDefault="003B2BD4" w:rsidP="00491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  <w:r w:rsidR="004914C3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0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документации:</w:t>
            </w:r>
          </w:p>
        </w:tc>
      </w:tr>
      <w:tr w:rsidR="003B2BD4" w:rsidRPr="003B2BD4" w:rsidTr="004914C3">
        <w:tc>
          <w:tcPr>
            <w:tcW w:w="565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          Исполнитель предоставляет Заказчику «Акт выполненных работ»</w:t>
            </w:r>
            <w:r w:rsidR="00920E29">
              <w:rPr>
                <w:rFonts w:ascii="Times New Roman" w:eastAsia="Times New Roman" w:hAnsi="Times New Roman" w:cs="Times New Roman"/>
                <w:lang w:eastAsia="ru-RU"/>
              </w:rPr>
              <w:t>, счет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и счет – фактуру после подписания сторонами «Технического акта».</w:t>
            </w:r>
          </w:p>
        </w:tc>
      </w:tr>
      <w:tr w:rsidR="003B2BD4" w:rsidRPr="003B2BD4" w:rsidTr="004914C3">
        <w:tc>
          <w:tcPr>
            <w:tcW w:w="565" w:type="dxa"/>
            <w:vMerge w:val="restart"/>
          </w:tcPr>
          <w:p w:rsidR="003B2BD4" w:rsidRPr="003B2BD4" w:rsidRDefault="003B2BD4" w:rsidP="00491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B2BD4"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  <w:t>1</w:t>
            </w:r>
            <w:r w:rsidR="004914C3"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</w:pPr>
            <w:r w:rsidRPr="003B2BD4">
              <w:rPr>
                <w:rFonts w:ascii="Times New Roman" w:eastAsia="Calibri" w:hAnsi="Times New Roman" w:cs="Times New Roman"/>
                <w:b/>
                <w:lang w:eastAsia="ru-RU"/>
              </w:rPr>
              <w:t>Участник процедуры закупки должен сделать предложение по следующим критериям:</w:t>
            </w:r>
          </w:p>
        </w:tc>
      </w:tr>
      <w:tr w:rsidR="003B2BD4" w:rsidRPr="003B2BD4" w:rsidTr="004914C3">
        <w:tc>
          <w:tcPr>
            <w:tcW w:w="565" w:type="dxa"/>
            <w:vMerge/>
          </w:tcPr>
          <w:p w:rsidR="003B2BD4" w:rsidRPr="003B2BD4" w:rsidRDefault="003B2BD4" w:rsidP="003B2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530" w:type="dxa"/>
            <w:gridSpan w:val="2"/>
          </w:tcPr>
          <w:p w:rsidR="003B2BD4" w:rsidRPr="003B2BD4" w:rsidRDefault="003B2BD4" w:rsidP="003B2BD4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</w:pPr>
            <w:r w:rsidRPr="003B2BD4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1. Цена договора</w:t>
            </w:r>
            <w:r w:rsidRPr="003B2BD4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 не более </w:t>
            </w:r>
            <w:r w:rsidR="004914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1 301 500,</w:t>
            </w:r>
            <w:r w:rsidR="004914C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00</w:t>
            </w:r>
            <w:r w:rsidR="004914C3">
              <w:rPr>
                <w:rStyle w:val="apple-converted-space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="004914C3">
              <w:t>рублей</w:t>
            </w:r>
            <w:r w:rsidR="00A0116F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>, в том числе НДС-20</w:t>
            </w:r>
            <w:r w:rsidRPr="00692B98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% (значимость критерия – </w:t>
            </w:r>
            <w:r w:rsidRPr="00692B98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70%</w:t>
            </w:r>
            <w:r w:rsidRPr="00692B98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>);</w:t>
            </w:r>
          </w:p>
          <w:p w:rsidR="003B2BD4" w:rsidRPr="003B2BD4" w:rsidRDefault="003B2BD4" w:rsidP="003B2BD4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</w:pPr>
            <w:r w:rsidRPr="003B2BD4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 xml:space="preserve">2. Квалификация участника </w:t>
            </w:r>
            <w:r w:rsidRPr="003B2BD4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>(значимость критерия –</w:t>
            </w:r>
            <w:r w:rsidRPr="003B2BD4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30</w:t>
            </w:r>
            <w:r w:rsidRPr="003B2BD4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>%):</w:t>
            </w:r>
          </w:p>
          <w:p w:rsidR="003B2BD4" w:rsidRPr="004914C3" w:rsidRDefault="003B2BD4" w:rsidP="003B2BD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</w:pPr>
            <w:r w:rsidRPr="004914C3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  <w:r w:rsidR="00594629" w:rsidRPr="00491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5209C">
              <w:rPr>
                <w:rFonts w:ascii="Times New Roman" w:eastAsia="Times New Roman" w:hAnsi="Times New Roman" w:cs="Times New Roman"/>
                <w:lang w:eastAsia="ru-RU"/>
              </w:rPr>
              <w:t>Наличие опыта оказания услуг сопоставимого характера и объема</w:t>
            </w:r>
            <w:r w:rsidR="004914C3">
              <w:rPr>
                <w:rFonts w:ascii="Times New Roman" w:eastAsia="Times New Roman" w:hAnsi="Times New Roman" w:cs="Times New Roman"/>
                <w:lang w:eastAsia="ru-RU"/>
              </w:rPr>
              <w:t xml:space="preserve">. Под </w:t>
            </w:r>
            <w:r w:rsidR="00B5209C">
              <w:rPr>
                <w:rFonts w:ascii="Times New Roman" w:eastAsia="Times New Roman" w:hAnsi="Times New Roman" w:cs="Times New Roman"/>
                <w:lang w:eastAsia="ru-RU"/>
              </w:rPr>
              <w:t>сопоставимым</w:t>
            </w:r>
            <w:r w:rsidR="004914C3">
              <w:rPr>
                <w:rFonts w:ascii="Times New Roman" w:eastAsia="Times New Roman" w:hAnsi="Times New Roman" w:cs="Times New Roman"/>
                <w:lang w:eastAsia="ru-RU"/>
              </w:rPr>
              <w:t xml:space="preserve"> характером и объемом понимается опыт оказания услуг по сервисному обслуживанию холодильного оборудования по </w:t>
            </w:r>
            <w:r w:rsidR="00B5209C">
              <w:rPr>
                <w:rFonts w:ascii="Times New Roman" w:eastAsia="Times New Roman" w:hAnsi="Times New Roman" w:cs="Times New Roman"/>
                <w:lang w:eastAsia="ru-RU"/>
              </w:rPr>
              <w:t>исполненным</w:t>
            </w:r>
            <w:r w:rsidR="004914C3">
              <w:rPr>
                <w:rFonts w:ascii="Times New Roman" w:eastAsia="Times New Roman" w:hAnsi="Times New Roman" w:cs="Times New Roman"/>
                <w:lang w:eastAsia="ru-RU"/>
              </w:rPr>
              <w:t xml:space="preserve"> контрактам и/или договорам, заключенным с организациями любой организационно-</w:t>
            </w:r>
            <w:r w:rsidR="00B5209C">
              <w:rPr>
                <w:rFonts w:ascii="Times New Roman" w:eastAsia="Times New Roman" w:hAnsi="Times New Roman" w:cs="Times New Roman"/>
                <w:lang w:eastAsia="ru-RU"/>
              </w:rPr>
              <w:t>правовой</w:t>
            </w:r>
            <w:r w:rsidR="004914C3">
              <w:rPr>
                <w:rFonts w:ascii="Times New Roman" w:eastAsia="Times New Roman" w:hAnsi="Times New Roman" w:cs="Times New Roman"/>
                <w:lang w:eastAsia="ru-RU"/>
              </w:rPr>
              <w:t xml:space="preserve"> формы. Для подсчета принимается год, в котором был исполнен не менее чем один договор.</w:t>
            </w:r>
            <w:r w:rsidRPr="004914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B2BD4" w:rsidRPr="003B2BD4" w:rsidRDefault="003B2BD4" w:rsidP="003B2BD4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3B2BD4" w:rsidRPr="003B2BD4" w:rsidRDefault="003B2BD4" w:rsidP="00784786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</w:rPr>
      </w:pPr>
      <w:bookmarkStart w:id="1" w:name="_GoBack"/>
      <w:bookmarkEnd w:id="1"/>
    </w:p>
    <w:p w:rsidR="003B797E" w:rsidRPr="00A619FC" w:rsidRDefault="0085759F" w:rsidP="00A619FC">
      <w:pPr>
        <w:spacing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575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энергетик  </w:t>
      </w:r>
      <w:r w:rsidR="00E76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769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769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769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7698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173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E7698A">
        <w:rPr>
          <w:rFonts w:ascii="Times New Roman" w:eastAsia="Times New Roman" w:hAnsi="Times New Roman" w:cs="Times New Roman"/>
          <w:sz w:val="26"/>
          <w:szCs w:val="26"/>
          <w:lang w:eastAsia="ru-RU"/>
        </w:rPr>
        <w:t>С.А. Бакшандаева</w:t>
      </w:r>
    </w:p>
    <w:sectPr w:rsidR="003B797E" w:rsidRPr="00A619FC" w:rsidSect="00B5209C">
      <w:headerReference w:type="default" r:id="rId7"/>
      <w:footerReference w:type="default" r:id="rId8"/>
      <w:headerReference w:type="firs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FE5" w:rsidRDefault="003D3FE5">
      <w:pPr>
        <w:spacing w:after="0" w:line="240" w:lineRule="auto"/>
      </w:pPr>
      <w:r>
        <w:separator/>
      </w:r>
    </w:p>
  </w:endnote>
  <w:endnote w:type="continuationSeparator" w:id="0">
    <w:p w:rsidR="003D3FE5" w:rsidRDefault="003D3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478137"/>
      <w:docPartObj>
        <w:docPartGallery w:val="Page Numbers (Bottom of Page)"/>
        <w:docPartUnique/>
      </w:docPartObj>
    </w:sdtPr>
    <w:sdtEndPr/>
    <w:sdtContent>
      <w:p w:rsidR="0019774B" w:rsidRDefault="0019774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786">
          <w:rPr>
            <w:noProof/>
          </w:rPr>
          <w:t>1</w:t>
        </w:r>
        <w:r>
          <w:fldChar w:fldCharType="end"/>
        </w:r>
      </w:p>
    </w:sdtContent>
  </w:sdt>
  <w:p w:rsidR="0019774B" w:rsidRDefault="001977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FE5" w:rsidRDefault="003D3FE5">
      <w:pPr>
        <w:spacing w:after="0" w:line="240" w:lineRule="auto"/>
      </w:pPr>
      <w:r>
        <w:separator/>
      </w:r>
    </w:p>
  </w:footnote>
  <w:footnote w:type="continuationSeparator" w:id="0">
    <w:p w:rsidR="003D3FE5" w:rsidRDefault="003D3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3D3FE5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3B2BD4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51A29"/>
    <w:multiLevelType w:val="multilevel"/>
    <w:tmpl w:val="A77232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BD4"/>
    <w:rsid w:val="00042239"/>
    <w:rsid w:val="000A65DC"/>
    <w:rsid w:val="001074CB"/>
    <w:rsid w:val="00122C95"/>
    <w:rsid w:val="00142210"/>
    <w:rsid w:val="00190EB6"/>
    <w:rsid w:val="0019774B"/>
    <w:rsid w:val="001D1302"/>
    <w:rsid w:val="001F3647"/>
    <w:rsid w:val="00200063"/>
    <w:rsid w:val="002C2929"/>
    <w:rsid w:val="002D6E34"/>
    <w:rsid w:val="00362B8E"/>
    <w:rsid w:val="003A5566"/>
    <w:rsid w:val="003A59C9"/>
    <w:rsid w:val="003B2BD4"/>
    <w:rsid w:val="003B797E"/>
    <w:rsid w:val="003C0070"/>
    <w:rsid w:val="003D3FE5"/>
    <w:rsid w:val="00417363"/>
    <w:rsid w:val="00434429"/>
    <w:rsid w:val="004914C3"/>
    <w:rsid w:val="004D44FE"/>
    <w:rsid w:val="004D7647"/>
    <w:rsid w:val="00507F5A"/>
    <w:rsid w:val="0053135E"/>
    <w:rsid w:val="00542245"/>
    <w:rsid w:val="00565A8E"/>
    <w:rsid w:val="00591832"/>
    <w:rsid w:val="00594629"/>
    <w:rsid w:val="005D6418"/>
    <w:rsid w:val="005E2E5A"/>
    <w:rsid w:val="005F5661"/>
    <w:rsid w:val="00604D3F"/>
    <w:rsid w:val="0062314E"/>
    <w:rsid w:val="006426C6"/>
    <w:rsid w:val="00670E2F"/>
    <w:rsid w:val="006807BE"/>
    <w:rsid w:val="00692B98"/>
    <w:rsid w:val="006A5066"/>
    <w:rsid w:val="006D2A04"/>
    <w:rsid w:val="00732321"/>
    <w:rsid w:val="00784786"/>
    <w:rsid w:val="007D131E"/>
    <w:rsid w:val="007F798B"/>
    <w:rsid w:val="008212EE"/>
    <w:rsid w:val="00836862"/>
    <w:rsid w:val="0085759F"/>
    <w:rsid w:val="00863727"/>
    <w:rsid w:val="0088310B"/>
    <w:rsid w:val="008944BA"/>
    <w:rsid w:val="009044D9"/>
    <w:rsid w:val="00920E29"/>
    <w:rsid w:val="00932E5A"/>
    <w:rsid w:val="009408A6"/>
    <w:rsid w:val="009A0671"/>
    <w:rsid w:val="009A0AA9"/>
    <w:rsid w:val="009A179E"/>
    <w:rsid w:val="00A0116F"/>
    <w:rsid w:val="00A16668"/>
    <w:rsid w:val="00A619FC"/>
    <w:rsid w:val="00A80E1F"/>
    <w:rsid w:val="00AA1A0C"/>
    <w:rsid w:val="00AD670D"/>
    <w:rsid w:val="00B5209C"/>
    <w:rsid w:val="00B6147F"/>
    <w:rsid w:val="00B76B3E"/>
    <w:rsid w:val="00C41B03"/>
    <w:rsid w:val="00C71433"/>
    <w:rsid w:val="00C967C5"/>
    <w:rsid w:val="00C97680"/>
    <w:rsid w:val="00CA6011"/>
    <w:rsid w:val="00D04156"/>
    <w:rsid w:val="00D9524A"/>
    <w:rsid w:val="00DD14D0"/>
    <w:rsid w:val="00DE7092"/>
    <w:rsid w:val="00DF2D32"/>
    <w:rsid w:val="00E120BC"/>
    <w:rsid w:val="00E7698A"/>
    <w:rsid w:val="00E871CE"/>
    <w:rsid w:val="00EE145F"/>
    <w:rsid w:val="00F72B7D"/>
    <w:rsid w:val="00F77332"/>
    <w:rsid w:val="00F85B8A"/>
    <w:rsid w:val="00FA2986"/>
    <w:rsid w:val="00FF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774AC"/>
  <w15:docId w15:val="{163DBA74-1D9B-408A-9286-54C11D3D1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B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2BD4"/>
  </w:style>
  <w:style w:type="table" w:customStyle="1" w:styleId="1">
    <w:name w:val="Сетка таблицы1"/>
    <w:basedOn w:val="a1"/>
    <w:next w:val="a5"/>
    <w:uiPriority w:val="59"/>
    <w:rsid w:val="00FA298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99"/>
    <w:rsid w:val="00FA2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97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774B"/>
  </w:style>
  <w:style w:type="character" w:customStyle="1" w:styleId="apple-converted-space">
    <w:name w:val="apple-converted-space"/>
    <w:basedOn w:val="a0"/>
    <w:rsid w:val="00491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8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Здобнякова Наталья Викторовна</dc:creator>
  <cp:lastModifiedBy>Гребенщиков Андрей Владимироч</cp:lastModifiedBy>
  <cp:revision>12</cp:revision>
  <cp:lastPrinted>2017-02-28T06:15:00Z</cp:lastPrinted>
  <dcterms:created xsi:type="dcterms:W3CDTF">2021-12-17T07:08:00Z</dcterms:created>
  <dcterms:modified xsi:type="dcterms:W3CDTF">2023-04-20T11:14:00Z</dcterms:modified>
</cp:coreProperties>
</file>