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7088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683C" w:rsidRDefault="00826DD1" w:rsidP="00ED57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DD1">
        <w:rPr>
          <w:rFonts w:ascii="Times New Roman" w:hAnsi="Times New Roman" w:cs="Times New Roman"/>
          <w:sz w:val="24"/>
          <w:szCs w:val="24"/>
        </w:rPr>
        <w:t xml:space="preserve">Работы по </w:t>
      </w:r>
      <w:r w:rsidR="00F26925">
        <w:rPr>
          <w:rFonts w:ascii="Times New Roman" w:hAnsi="Times New Roman" w:cs="Times New Roman"/>
          <w:sz w:val="24"/>
          <w:szCs w:val="24"/>
        </w:rPr>
        <w:t>ремонту санузла 1-ого этажа</w:t>
      </w:r>
      <w:r w:rsidR="002929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6925">
        <w:rPr>
          <w:rFonts w:ascii="Times New Roman" w:eastAsia="Calibri" w:hAnsi="Times New Roman" w:cs="Times New Roman"/>
          <w:sz w:val="24"/>
          <w:szCs w:val="24"/>
        </w:rPr>
        <w:t>ФОК «Факел»</w:t>
      </w:r>
    </w:p>
    <w:p w:rsidR="002929E0" w:rsidRDefault="00034263" w:rsidP="00ED57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расположенных</w:t>
      </w:r>
      <w:r w:rsidR="007632DA" w:rsidRPr="007632DA">
        <w:rPr>
          <w:rFonts w:ascii="Times New Roman" w:eastAsia="Calibri" w:hAnsi="Times New Roman" w:cs="Times New Roman"/>
          <w:sz w:val="24"/>
          <w:szCs w:val="24"/>
        </w:rPr>
        <w:t xml:space="preserve"> по адресу:</w:t>
      </w:r>
      <w:r w:rsidR="002468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29E0">
        <w:rPr>
          <w:rFonts w:ascii="Times New Roman" w:eastAsia="Calibri" w:hAnsi="Times New Roman" w:cs="Times New Roman"/>
          <w:sz w:val="24"/>
          <w:szCs w:val="24"/>
        </w:rPr>
        <w:t>г. Екатеринбург,</w:t>
      </w:r>
      <w:r w:rsidR="002929E0" w:rsidRPr="002929E0">
        <w:rPr>
          <w:rFonts w:ascii="Times New Roman" w:hAnsi="Times New Roman" w:cs="Times New Roman"/>
          <w:sz w:val="24"/>
          <w:szCs w:val="24"/>
        </w:rPr>
        <w:t xml:space="preserve"> ул. </w:t>
      </w:r>
      <w:r w:rsidR="00F26925">
        <w:rPr>
          <w:rFonts w:ascii="Times New Roman" w:hAnsi="Times New Roman" w:cs="Times New Roman"/>
          <w:sz w:val="24"/>
          <w:szCs w:val="24"/>
        </w:rPr>
        <w:t>Красноармейская</w:t>
      </w:r>
      <w:r w:rsidR="00ED572C">
        <w:rPr>
          <w:rFonts w:ascii="Times New Roman" w:hAnsi="Times New Roman" w:cs="Times New Roman"/>
          <w:sz w:val="24"/>
          <w:szCs w:val="24"/>
        </w:rPr>
        <w:t>,</w:t>
      </w:r>
      <w:r w:rsidR="00F26925">
        <w:rPr>
          <w:rFonts w:ascii="Times New Roman" w:hAnsi="Times New Roman" w:cs="Times New Roman"/>
          <w:sz w:val="24"/>
          <w:szCs w:val="24"/>
        </w:rPr>
        <w:t xml:space="preserve"> д.27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28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796"/>
      </w:tblGrid>
      <w:tr w:rsidR="00410E6C" w:rsidTr="00ED572C">
        <w:tc>
          <w:tcPr>
            <w:tcW w:w="2518" w:type="dxa"/>
            <w:vAlign w:val="center"/>
          </w:tcPr>
          <w:p w:rsidR="00410E6C" w:rsidRPr="000B4FB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к выполнению работ</w:t>
            </w:r>
          </w:p>
        </w:tc>
      </w:tr>
      <w:tr w:rsidR="0024683C" w:rsidTr="008C0288">
        <w:trPr>
          <w:trHeight w:val="562"/>
        </w:trPr>
        <w:tc>
          <w:tcPr>
            <w:tcW w:w="2518" w:type="dxa"/>
            <w:vAlign w:val="center"/>
          </w:tcPr>
          <w:p w:rsidR="0024683C" w:rsidRPr="0024683C" w:rsidRDefault="0024683C" w:rsidP="0024683C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4FA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7796" w:type="dxa"/>
            <w:vAlign w:val="center"/>
          </w:tcPr>
          <w:p w:rsidR="0024683C" w:rsidRPr="0024683C" w:rsidRDefault="0024683C" w:rsidP="00F269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83C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</w:t>
            </w:r>
            <w:r w:rsidR="00F26925">
              <w:rPr>
                <w:rFonts w:ascii="Times New Roman" w:hAnsi="Times New Roman" w:cs="Times New Roman"/>
                <w:sz w:val="24"/>
                <w:szCs w:val="24"/>
              </w:rPr>
              <w:t>ремонту санузла 1-ого этажа, ФОК «Факел»</w:t>
            </w:r>
            <w:r w:rsidRPr="0024683C">
              <w:rPr>
                <w:rFonts w:ascii="Times New Roman" w:hAnsi="Times New Roman" w:cs="Times New Roman"/>
                <w:sz w:val="24"/>
                <w:szCs w:val="24"/>
              </w:rPr>
              <w:t xml:space="preserve"> (Свидетельство №66АЖ 649</w:t>
            </w:r>
            <w:r w:rsidR="00F2692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Pr="0024683C">
              <w:rPr>
                <w:rFonts w:ascii="Times New Roman" w:hAnsi="Times New Roman" w:cs="Times New Roman"/>
                <w:sz w:val="24"/>
                <w:szCs w:val="24"/>
              </w:rPr>
              <w:t>) (далее - Работы), в полном соответствии с дефектн</w:t>
            </w:r>
            <w:r w:rsidR="00F2692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4683C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</w:t>
            </w:r>
            <w:r w:rsidR="00F26925"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  <w:r w:rsidRPr="0024683C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№1), локально сметным расчет</w:t>
            </w:r>
            <w:r w:rsidR="00F26925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4683C">
              <w:rPr>
                <w:rFonts w:ascii="Times New Roman" w:hAnsi="Times New Roman" w:cs="Times New Roman"/>
                <w:sz w:val="24"/>
                <w:szCs w:val="24"/>
              </w:rPr>
              <w:t xml:space="preserve"> № 23-1</w:t>
            </w:r>
            <w:r w:rsidR="00F269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683C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</w:t>
            </w:r>
            <w:r w:rsidR="00F269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68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2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регламент/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410E6C" w:rsidRPr="00D57E8F" w:rsidRDefault="00410E6C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Подрядчик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B77462" w:rsidRPr="00944E92" w:rsidRDefault="004D461A" w:rsidP="008E4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 должны быть выполнены качественно в полном соответствии со сводом правил </w:t>
            </w:r>
            <w:r w:rsidRPr="004D461A">
              <w:rPr>
                <w:rFonts w:ascii="Times New Roman" w:hAnsi="Times New Roman" w:cs="Times New Roman"/>
                <w:sz w:val="24"/>
                <w:szCs w:val="24"/>
              </w:rPr>
              <w:t xml:space="preserve">СП 12-136-2002 «СНиП 12-04-2002 Безопасность труда в строительстве»; </w:t>
            </w:r>
            <w:r w:rsidRPr="004D4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другими действующими СНИП и ГОСТ, а также с Федеральным законом от 30.12.2009 № 384-ФЗ «Технический регламент о безопасности зданий и сооружений» и другими нормами де</w:t>
            </w:r>
            <w:r w:rsidR="008E47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йствующего законодательства РФ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410E6C" w:rsidRDefault="00CF558D" w:rsidP="00944E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A1E">
              <w:rPr>
                <w:rFonts w:ascii="Times New Roman" w:hAnsi="Times New Roman"/>
                <w:sz w:val="24"/>
                <w:szCs w:val="24"/>
              </w:rPr>
              <w:t xml:space="preserve">Качество работ должно соответствовать </w:t>
            </w:r>
            <w:r w:rsidR="00944E92">
              <w:rPr>
                <w:rFonts w:ascii="Times New Roman" w:hAnsi="Times New Roman"/>
                <w:sz w:val="24"/>
                <w:szCs w:val="24"/>
              </w:rPr>
              <w:t>с</w:t>
            </w:r>
            <w:r w:rsidR="00E94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51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Федеральным законом от 30.12.2009 № 384-ФЗ </w:t>
            </w:r>
            <w:r w:rsidR="00FF5412" w:rsidRPr="004D4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«Технический регламент о безопасности зданий и сооружений»</w:t>
            </w:r>
            <w:r w:rsidR="00FF5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51F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 другими нормами действу</w:t>
            </w:r>
            <w:bookmarkStart w:id="0" w:name="_GoBack"/>
            <w:bookmarkEnd w:id="0"/>
            <w:r w:rsidRPr="003551F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ющего законодательства РФ</w:t>
            </w:r>
            <w:r w:rsidRPr="003551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техническим характеристикам применяемых материалов; применение/неприменение эквивалента к 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Применяемые материалы должны соответствовать </w:t>
            </w:r>
            <w:r w:rsidRPr="00362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ГОСТ, а в случае отсутствия ГОСТ должны соответствовать ТУ 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производителя материалов.</w:t>
            </w:r>
          </w:p>
          <w:p w:rsidR="00410E6C" w:rsidRDefault="00410E6C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начала работ Подрядчик должен предоставить Заказчику сертификаты пожарной безопасности и иные документы в соответствии с Постановлением Правительства РФ от 01 декабря 2009 г. № 982 «Об утверждении единого перечня продукции, подлежащей обязательной сертификации, и, единого перечня продукции, подтверждение соответствия которой осуществляется в форме принятия декларации о соответствии», Федеральным законом Российской Федерации от 22.07.2008 г. № 123-ФЗ «Технический регламент о требованиях пожарной безопасности», с Федеральным законом от 30.12.2009 № 384-ФЗ «Технический регламент о безопасности зданий и сооружений».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функциональным характеристикам (потребительским свойствам) товара,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2468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D4028B">
              <w:rPr>
                <w:rFonts w:ascii="Times New Roman" w:eastAsia="Calibri" w:hAnsi="Times New Roman" w:cs="Times New Roman"/>
                <w:sz w:val="24"/>
                <w:szCs w:val="24"/>
              </w:rPr>
              <w:t>с Приложением</w:t>
            </w:r>
            <w:r w:rsidR="00B468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028B">
              <w:rPr>
                <w:rFonts w:ascii="Times New Roman" w:eastAsia="Calibri" w:hAnsi="Times New Roman" w:cs="Times New Roman"/>
                <w:sz w:val="24"/>
                <w:szCs w:val="24"/>
              </w:rPr>
              <w:t>к ТЗ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B468B8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ED572C">
        <w:tc>
          <w:tcPr>
            <w:tcW w:w="2518" w:type="dxa"/>
            <w:vAlign w:val="center"/>
          </w:tcPr>
          <w:p w:rsidR="00410E6C" w:rsidRPr="004351FB" w:rsidRDefault="00410E6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  <w:r w:rsidR="00ED57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7A215A" w:rsidRPr="007A215A" w:rsidRDefault="007A215A" w:rsidP="007A215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сле завершения работ</w:t>
            </w: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, подрядчик направляет в адрес Заказчика Уведомление о приемке выполненных работ по договору</w:t>
            </w:r>
            <w:r w:rsidRPr="007A2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A2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приложенными</w:t>
            </w:r>
            <w:r w:rsidRPr="007A2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сертификатами и паспортами качества на приобретенные Подрядчиком и использованные им при проведении работ материалы, актами на скрытые работы. </w:t>
            </w:r>
            <w:r w:rsidRPr="007A215A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Совместный осмотр результатов работ осуществляется в течение 7 (семи) рабочих дней с момента получения Заказчиком уведомления Подрядчика</w:t>
            </w: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о приемке работ. </w:t>
            </w:r>
          </w:p>
          <w:p w:rsidR="007A215A" w:rsidRPr="007A215A" w:rsidRDefault="007A215A" w:rsidP="007A215A">
            <w:pPr>
              <w:widowControl w:val="0"/>
              <w:shd w:val="clear" w:color="auto" w:fill="FFFFFF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При совместной проверке в случае обнаружения недостатков в Акте рабочей комиссии отражается выявленные недостатки и устанавливается срок для их устранения. После устранения недостатков стороны проводят повторную проверку результатов и качества выполненных работ в соответствии с п. 5.1. настоящего договора.</w:t>
            </w:r>
          </w:p>
          <w:p w:rsidR="007A215A" w:rsidRPr="007A215A" w:rsidRDefault="007A215A" w:rsidP="007A215A">
            <w:pPr>
              <w:widowControl w:val="0"/>
              <w:shd w:val="clear" w:color="auto" w:fill="FFFFFF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В течение 2 (двух) календарных дней после подписания обеими сторонами Акта рабочей комиссии без недостатков выполненных работ (после устранения недостатков) Подрядчик направляет в адрес Заказчика официальное письмо с приложенными актами приемки выполненных работ формы КС-2, справкой о стоимости выполненных работ и затрат формы КС-3, а также комплект надлежащим образом оформленной исполнительной документации на выполненный за отчетный период объем работ с сопроводительным письмом. Работы считаются принятыми Заказчиком и сданными Подрядчиком с момента подписания обеими Сторонами акта приемки выполненных работ формы КС-2, справки о стоимости выполненных работ и затрат формы КС-3.</w:t>
            </w:r>
          </w:p>
          <w:p w:rsidR="007A215A" w:rsidRPr="007A215A" w:rsidRDefault="007A215A" w:rsidP="007A215A">
            <w:pPr>
              <w:widowControl w:val="0"/>
              <w:shd w:val="clear" w:color="auto" w:fill="FFFFFF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При обнаружении дефектов в выполненной работе после приемки работ, Подрядчик за свой счет устраняет выявленные дефекты в течение срока действия гарантийного обязательства.</w:t>
            </w:r>
          </w:p>
          <w:p w:rsidR="007A215A" w:rsidRPr="007A215A" w:rsidRDefault="007A215A" w:rsidP="007A215A">
            <w:pPr>
              <w:widowControl w:val="0"/>
              <w:shd w:val="clear" w:color="auto" w:fill="FFFFFF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Сторона, отказавшаяся от подписания </w:t>
            </w: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акта сдачи-приемки выполненных работ формы КС-2</w:t>
            </w: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, обязана письменно изложить основания для отказа в подписании, в акте</w:t>
            </w:r>
            <w:r w:rsidRPr="007A2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A215A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сдачи-приемки выполненных работ формы КС-2</w:t>
            </w: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или в ином документе, направленном другой Стороне не позднее 7 (семи) рабочих дней с момента сдачи приемки.</w:t>
            </w:r>
          </w:p>
          <w:p w:rsidR="007A215A" w:rsidRPr="007A215A" w:rsidRDefault="007A215A" w:rsidP="007A215A">
            <w:pPr>
              <w:widowControl w:val="0"/>
              <w:shd w:val="clear" w:color="auto" w:fill="FFFFFF"/>
              <w:tabs>
                <w:tab w:val="num" w:pos="1080"/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Гарантии качества на материалы и выполненные подрядчиком работы составляет 5 (пять) лет со дня подписания акта приемки выполненных работ </w:t>
            </w:r>
            <w:r w:rsidRPr="007A215A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формы КС-2.</w:t>
            </w:r>
          </w:p>
          <w:p w:rsidR="007A215A" w:rsidRPr="007A215A" w:rsidRDefault="007A215A" w:rsidP="007A215A">
            <w:pPr>
              <w:widowControl w:val="0"/>
              <w:shd w:val="clear" w:color="auto" w:fill="FFFFFF"/>
              <w:tabs>
                <w:tab w:val="num" w:pos="1080"/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В случае обнаружения в течение гарантийного срока недостатков выполненных работ или используемых материалов, Подрядчик обязан устранить их за свой счёт в согласованные с заказчиком сроки. Для участия в составлении акта, фиксирующего выявленные недостатки согласования порядка и сроков их устранения, Подрядчик обязан в течении 3 рабочих дней с момента уведомления о выявленных недостатках предоставить на объект своего представителя. Общий срок устранения недостатков, возникших в период гарантийного срока, не </w:t>
            </w: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может превышать 10 рабочих дней.</w:t>
            </w:r>
          </w:p>
          <w:p w:rsidR="007A215A" w:rsidRPr="007A215A" w:rsidRDefault="007A215A" w:rsidP="007A215A">
            <w:pPr>
              <w:widowControl w:val="0"/>
              <w:shd w:val="clear" w:color="auto" w:fill="FFFFFF"/>
              <w:tabs>
                <w:tab w:val="num" w:pos="1080"/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При отказе и/или уклонении Подрядчика от устранения выявленных в период гарантийного срока недостатков (в том числе </w:t>
            </w:r>
            <w:proofErr w:type="gramStart"/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не явки</w:t>
            </w:r>
            <w:proofErr w:type="gramEnd"/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на составление</w:t>
            </w:r>
            <w:r w:rsidRPr="007A2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акта фиксирующего выявленные недостатки согласования порядка и сроков их устранения), Заказчик в праве самостоятельно или с привлечением сторонней организации устранить выявленные недостатки с последующим взысканием с Подрядчика стоимости выполненных работ по устранению недостатков.</w:t>
            </w:r>
          </w:p>
          <w:p w:rsidR="00410E6C" w:rsidRPr="007A215A" w:rsidRDefault="007A215A" w:rsidP="007A215A">
            <w:pPr>
              <w:widowControl w:val="0"/>
              <w:shd w:val="clear" w:color="auto" w:fill="FFFFFF"/>
              <w:tabs>
                <w:tab w:val="num" w:pos="1080"/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A215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В случае обнаружения Заказчиком недостатков результатов работ и материалов по истечении гарантийного срока, Подрядчик несет ответственность, если Заказчик докажет, что недостатки возникли до передачи результатов работ Заказчику или по причинам, возникших до этого момента.</w:t>
            </w:r>
          </w:p>
        </w:tc>
      </w:tr>
      <w:tr w:rsidR="00ED572C" w:rsidTr="00ED572C">
        <w:trPr>
          <w:trHeight w:val="828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 выполнения работ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BC2568">
            <w:pPr>
              <w:widowControl w:val="0"/>
              <w:autoSpaceDE w:val="0"/>
              <w:autoSpaceDN w:val="0"/>
              <w:adjustRightInd w:val="0"/>
              <w:ind w:right="28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2DA">
              <w:rPr>
                <w:rFonts w:ascii="Times New Roman" w:eastAsia="Calibri" w:hAnsi="Times New Roman" w:cs="Times New Roman"/>
                <w:sz w:val="24"/>
                <w:szCs w:val="24"/>
              </w:rPr>
              <w:t>620075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 Екатеринбург, ул. </w:t>
            </w:r>
            <w:r w:rsidR="00BC2568">
              <w:rPr>
                <w:rFonts w:ascii="Times New Roman" w:eastAsia="Calibri" w:hAnsi="Times New Roman" w:cs="Times New Roman"/>
                <w:sz w:val="24"/>
                <w:szCs w:val="24"/>
              </w:rPr>
              <w:t>Красноармейская, д.27</w:t>
            </w:r>
          </w:p>
        </w:tc>
      </w:tr>
      <w:tr w:rsidR="00ED572C" w:rsidTr="00ED572C">
        <w:trPr>
          <w:trHeight w:val="1114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E677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 по п.2.1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 соответствии со спецификацией (приложение №3 к договору) и дефектной ведомостью (приложение №1 к договору).</w:t>
            </w:r>
          </w:p>
        </w:tc>
      </w:tr>
      <w:tr w:rsidR="00ED572C" w:rsidTr="00ED572C">
        <w:trPr>
          <w:trHeight w:val="1104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3 проекта договора</w:t>
            </w:r>
          </w:p>
        </w:tc>
      </w:tr>
      <w:tr w:rsidR="00ED572C" w:rsidTr="00ED572C">
        <w:trPr>
          <w:trHeight w:val="3046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Порядок формирования цены проекта договора:</w:t>
            </w:r>
          </w:p>
        </w:tc>
        <w:tc>
          <w:tcPr>
            <w:tcW w:w="7796" w:type="dxa"/>
            <w:vAlign w:val="center"/>
          </w:tcPr>
          <w:p w:rsidR="00ED572C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42">
              <w:rPr>
                <w:rFonts w:ascii="Times New Roman" w:eastAsia="Calibri" w:hAnsi="Times New Roman" w:cs="Times New Roman"/>
                <w:sz w:val="24"/>
                <w:szCs w:val="24"/>
              </w:rPr>
              <w:t>Цена формируется в соответствии с условиями проекта договора, извещения о закупке, документацией о закупке.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цену проекта договора включаются затраты Подрядчика, связанные с: выполнением работ в соответствии с условиями проекта договора (в том числе затраты Подрядчика, связанные с доставкой строительного материала и вывоз строительного мусора), уплатой налогов и других обязательных платежей. </w:t>
            </w:r>
          </w:p>
          <w:p w:rsidR="00ED572C" w:rsidRPr="00F43060" w:rsidRDefault="00ED572C" w:rsidP="00F43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 w:rsidRPr="00F43060">
              <w:rPr>
                <w:rFonts w:ascii="Times New Roman" w:eastAsia="Calibri" w:hAnsi="Times New Roman" w:cs="Times New Roman"/>
                <w:sz w:val="24"/>
                <w:szCs w:val="24"/>
              </w:rPr>
              <w:t>ена договора формируется с учетом НДС с учетом системы налогообложения и не может превышать начальну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 (максимальную) цену договора. </w:t>
            </w:r>
          </w:p>
        </w:tc>
      </w:tr>
      <w:tr w:rsidR="00ED572C" w:rsidTr="00ED572C">
        <w:trPr>
          <w:trHeight w:val="981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66C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кадровым ресурсам участника закупки:</w:t>
            </w:r>
          </w:p>
        </w:tc>
        <w:tc>
          <w:tcPr>
            <w:tcW w:w="7796" w:type="dxa"/>
            <w:vAlign w:val="center"/>
          </w:tcPr>
          <w:p w:rsidR="00ED572C" w:rsidRPr="00CE4F2F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271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ED572C" w:rsidTr="00ED572C">
        <w:trPr>
          <w:trHeight w:val="828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1369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2DA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подразделом 10.4 Положения о закупке.</w:t>
            </w:r>
          </w:p>
        </w:tc>
      </w:tr>
      <w:tr w:rsidR="00ED572C" w:rsidTr="00ED572C">
        <w:trPr>
          <w:trHeight w:val="828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выполнению работ: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r w:rsidRPr="00047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условиями проекта договора по п. 4.1.</w:t>
            </w:r>
          </w:p>
        </w:tc>
      </w:tr>
      <w:tr w:rsidR="00ED572C" w:rsidTr="00ED572C">
        <w:trPr>
          <w:trHeight w:val="562"/>
        </w:trPr>
        <w:tc>
          <w:tcPr>
            <w:tcW w:w="2518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требуемых работ: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1 проекта договора</w:t>
            </w:r>
          </w:p>
        </w:tc>
      </w:tr>
      <w:tr w:rsidR="00ED572C" w:rsidTr="00ED572C">
        <w:trPr>
          <w:trHeight w:val="1380"/>
        </w:trPr>
        <w:tc>
          <w:tcPr>
            <w:tcW w:w="2518" w:type="dxa"/>
            <w:vAlign w:val="center"/>
          </w:tcPr>
          <w:p w:rsidR="00ED572C" w:rsidRPr="004351FB" w:rsidRDefault="00ED572C" w:rsidP="00ED57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товаров, используемых при выполнении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7796" w:type="dxa"/>
            <w:vAlign w:val="center"/>
          </w:tcPr>
          <w:p w:rsidR="00ED572C" w:rsidRPr="004351FB" w:rsidRDefault="00ED572C" w:rsidP="00414E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к техническому заданию.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72C" w:rsidRDefault="00ED572C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4263" w:rsidRDefault="00410E6C" w:rsidP="00ED5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Главный </w:t>
      </w:r>
      <w:r w:rsidR="008E4719">
        <w:rPr>
          <w:rFonts w:ascii="Times New Roman" w:eastAsia="Calibri" w:hAnsi="Times New Roman" w:cs="Times New Roman"/>
          <w:sz w:val="24"/>
          <w:szCs w:val="24"/>
        </w:rPr>
        <w:t>архитектор-начальник отдела 808</w:t>
      </w:r>
      <w:r w:rsidR="008E4719">
        <w:rPr>
          <w:rFonts w:ascii="Times New Roman" w:eastAsia="Calibri" w:hAnsi="Times New Roman" w:cs="Times New Roman"/>
          <w:sz w:val="24"/>
          <w:szCs w:val="24"/>
        </w:rPr>
        <w:tab/>
      </w:r>
      <w:r w:rsidR="008E4719">
        <w:rPr>
          <w:rFonts w:ascii="Times New Roman" w:eastAsia="Calibri" w:hAnsi="Times New Roman" w:cs="Times New Roman"/>
          <w:sz w:val="24"/>
          <w:szCs w:val="24"/>
        </w:rPr>
        <w:tab/>
      </w:r>
      <w:r w:rsidR="008E4719">
        <w:rPr>
          <w:rFonts w:ascii="Times New Roman" w:eastAsia="Calibri" w:hAnsi="Times New Roman" w:cs="Times New Roman"/>
          <w:sz w:val="24"/>
          <w:szCs w:val="24"/>
        </w:rPr>
        <w:tab/>
      </w:r>
      <w:r w:rsidR="008E4719">
        <w:rPr>
          <w:rFonts w:ascii="Times New Roman" w:eastAsia="Calibri" w:hAnsi="Times New Roman" w:cs="Times New Roman"/>
          <w:sz w:val="24"/>
          <w:szCs w:val="24"/>
        </w:rPr>
        <w:tab/>
      </w:r>
      <w:r w:rsidR="008E4719">
        <w:rPr>
          <w:rFonts w:ascii="Times New Roman" w:eastAsia="Calibri" w:hAnsi="Times New Roman" w:cs="Times New Roman"/>
          <w:sz w:val="24"/>
          <w:szCs w:val="24"/>
        </w:rPr>
        <w:tab/>
      </w:r>
      <w:r w:rsidR="008E4719">
        <w:rPr>
          <w:rFonts w:ascii="Times New Roman" w:eastAsia="Calibri" w:hAnsi="Times New Roman" w:cs="Times New Roman"/>
          <w:sz w:val="24"/>
          <w:szCs w:val="24"/>
        </w:rPr>
        <w:tab/>
      </w:r>
      <w:r w:rsidR="00CF558D" w:rsidRPr="004E0924">
        <w:rPr>
          <w:rFonts w:ascii="Times New Roman" w:eastAsia="Calibri" w:hAnsi="Times New Roman" w:cs="Times New Roman"/>
          <w:sz w:val="24"/>
          <w:szCs w:val="24"/>
        </w:rPr>
        <w:t>А.А. Зельдин</w:t>
      </w:r>
    </w:p>
    <w:p w:rsidR="00ED572C" w:rsidRDefault="00ED572C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D572C" w:rsidRDefault="00ED572C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8E4719" w:rsidRDefault="008E4719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8E4719" w:rsidRDefault="008E4719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8E4719" w:rsidRDefault="008E4719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8E4719" w:rsidRDefault="008E4719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8E4719" w:rsidRDefault="008E4719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8E4719" w:rsidRDefault="008E4719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8E4719" w:rsidRDefault="008E4719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8E4719" w:rsidRDefault="008E4719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8E4719" w:rsidRDefault="008E4719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B05A45" w:rsidRPr="004425AA" w:rsidRDefault="00B05A45" w:rsidP="00ED57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425AA">
        <w:rPr>
          <w:rFonts w:ascii="Times New Roman" w:eastAsia="Calibri" w:hAnsi="Times New Roman" w:cs="Times New Roman"/>
          <w:sz w:val="21"/>
          <w:szCs w:val="21"/>
          <w:lang w:eastAsia="ru-RU"/>
        </w:rPr>
        <w:t>Приложение № 1</w:t>
      </w:r>
    </w:p>
    <w:p w:rsidR="00B05A45" w:rsidRPr="004425AA" w:rsidRDefault="00B05A45" w:rsidP="00ED572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425AA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к Техническому заданию</w:t>
      </w:r>
    </w:p>
    <w:p w:rsidR="00B05A45" w:rsidRDefault="00B05A45" w:rsidP="00B05A4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05A45" w:rsidRPr="004425AA" w:rsidRDefault="00B05A45" w:rsidP="00B05A4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Перечень товаров,</w:t>
      </w:r>
    </w:p>
    <w:p w:rsidR="00B05A45" w:rsidRPr="004425AA" w:rsidRDefault="00B05A45" w:rsidP="00B05A4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используемых при выполнении работ </w:t>
      </w:r>
    </w:p>
    <w:p w:rsidR="00B05A45" w:rsidRPr="004425AA" w:rsidRDefault="00B05A45" w:rsidP="00B05A4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2125"/>
        <w:gridCol w:w="6076"/>
        <w:gridCol w:w="1534"/>
      </w:tblGrid>
      <w:tr w:rsidR="00B05A45" w:rsidRPr="004425AA" w:rsidTr="008A529C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45" w:rsidRPr="004425AA" w:rsidRDefault="00B05A45" w:rsidP="00581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45" w:rsidRPr="004425AA" w:rsidRDefault="00B05A45" w:rsidP="00581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45" w:rsidRPr="004425AA" w:rsidRDefault="00B05A45" w:rsidP="00581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Характеристики продукции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45" w:rsidRPr="004425AA" w:rsidRDefault="00B05A45" w:rsidP="00581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401CB" w:rsidRPr="004425AA" w:rsidTr="008A529C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B" w:rsidRPr="004425AA" w:rsidRDefault="007401CB" w:rsidP="008A529C">
            <w:pPr>
              <w:spacing w:after="0" w:line="240" w:lineRule="auto"/>
              <w:ind w:left="-108" w:right="-17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B" w:rsidRDefault="007401CB" w:rsidP="008021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16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Герметик пенополиуретановый (пена монтажная) типа </w:t>
            </w:r>
            <w:proofErr w:type="spellStart"/>
            <w:r w:rsidRPr="00D3168F">
              <w:rPr>
                <w:rFonts w:ascii="Times New Roman" w:eastAsia="Calibri" w:hAnsi="Times New Roman" w:cs="Times New Roman"/>
                <w:sz w:val="20"/>
                <w:szCs w:val="20"/>
              </w:rPr>
              <w:t>Makrofleks</w:t>
            </w:r>
            <w:proofErr w:type="spellEnd"/>
            <w:r w:rsidRPr="00D316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3168F">
              <w:rPr>
                <w:rFonts w:ascii="Times New Roman" w:eastAsia="Calibri" w:hAnsi="Times New Roman" w:cs="Times New Roman"/>
                <w:sz w:val="20"/>
                <w:szCs w:val="20"/>
              </w:rPr>
              <w:t>Soudal</w:t>
            </w:r>
            <w:proofErr w:type="spellEnd"/>
            <w:r w:rsidRPr="00D316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баллонах по 750 мл</w:t>
            </w:r>
          </w:p>
          <w:p w:rsidR="007401CB" w:rsidRPr="00D3168F" w:rsidRDefault="007401CB" w:rsidP="008021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01CB" w:rsidRPr="00EC0D1B" w:rsidRDefault="007401CB" w:rsidP="008021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0D1B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7401CB" w:rsidRPr="00EC0D1B" w:rsidRDefault="007401CB" w:rsidP="008021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01CB" w:rsidRDefault="007401CB" w:rsidP="008021F7">
            <w:pPr>
              <w:spacing w:after="0" w:line="240" w:lineRule="auto"/>
              <w:ind w:right="-12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(п.20</w:t>
            </w:r>
            <w:r w:rsidRPr="00D316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ЛС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23-18</w:t>
            </w:r>
            <w:r w:rsidRPr="00D3168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7401CB" w:rsidRPr="00EC0D1B" w:rsidRDefault="007401CB" w:rsidP="008021F7">
            <w:pPr>
              <w:spacing w:after="0" w:line="240" w:lineRule="auto"/>
              <w:ind w:right="-12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2864"/>
            </w:tblGrid>
            <w:tr w:rsidR="007401CB" w:rsidRPr="00EC0D1B" w:rsidTr="008021F7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01CB" w:rsidRPr="00EC0D1B" w:rsidRDefault="007401CB" w:rsidP="008021F7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EC0D1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C0D1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7401CB" w:rsidRPr="00EC0D1B" w:rsidTr="008021F7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Базовое вещество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Полиуретан</w:t>
                  </w:r>
                </w:p>
              </w:tc>
            </w:tr>
            <w:tr w:rsidR="007401CB" w:rsidRPr="00EC0D1B" w:rsidTr="008021F7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Вторичное расширение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120%</w:t>
                  </w:r>
                </w:p>
              </w:tc>
            </w:tr>
            <w:tr w:rsidR="007401CB" w:rsidRPr="00EC0D1B" w:rsidTr="008021F7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Температура нанесения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Минимально до +5С</w:t>
                  </w:r>
                </w:p>
              </w:tc>
            </w:tr>
            <w:tr w:rsidR="007401CB" w:rsidRPr="00EC0D1B" w:rsidTr="008021F7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Время высыхания поверхности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Максимально 16 минут</w:t>
                  </w:r>
                </w:p>
              </w:tc>
            </w:tr>
            <w:tr w:rsidR="007401CB" w:rsidRPr="00EC0D1B" w:rsidTr="008021F7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Класс огнестойкости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1CB" w:rsidRPr="00EC0D1B" w:rsidRDefault="007401CB" w:rsidP="008021F7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В3</w:t>
                  </w:r>
                </w:p>
              </w:tc>
            </w:tr>
          </w:tbl>
          <w:p w:rsidR="007401CB" w:rsidRPr="00EC0D1B" w:rsidRDefault="007401CB" w:rsidP="008021F7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B" w:rsidRDefault="007401CB" w:rsidP="007401C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 №23-18</w:t>
            </w:r>
          </w:p>
          <w:p w:rsidR="007401CB" w:rsidRPr="004425AA" w:rsidRDefault="007401CB" w:rsidP="007401C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3A348E" w:rsidRPr="004425AA" w:rsidTr="008A529C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8E" w:rsidRDefault="003A348E" w:rsidP="008A529C">
            <w:pPr>
              <w:spacing w:after="0" w:line="240" w:lineRule="auto"/>
              <w:ind w:left="-108" w:right="-17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8E" w:rsidRDefault="00CA08F1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Грунтовка </w:t>
            </w:r>
          </w:p>
          <w:p w:rsidR="00CA08F1" w:rsidRPr="00CA08F1" w:rsidRDefault="00CA08F1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val="en-US" w:eastAsia="ru-RU"/>
              </w:rPr>
              <w:t>Ceresit</w:t>
            </w:r>
            <w:r w:rsidRPr="00CA08F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en-US" w:eastAsia="ru-RU"/>
              </w:rPr>
              <w:t>CT</w:t>
            </w:r>
            <w:r w:rsidRPr="00CA08F1">
              <w:rPr>
                <w:rFonts w:ascii="Times New Roman" w:hAnsi="Times New Roman" w:cs="Times New Roman"/>
                <w:noProof/>
                <w:lang w:eastAsia="ru-RU"/>
              </w:rPr>
              <w:t xml:space="preserve"> 17</w:t>
            </w:r>
          </w:p>
          <w:p w:rsidR="003A348E" w:rsidRPr="003A348E" w:rsidRDefault="003A348E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>или эквивалент с равнозначными характеристиками</w:t>
            </w:r>
          </w:p>
          <w:p w:rsidR="003A348E" w:rsidRPr="00CA08F1" w:rsidRDefault="003A348E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val="en-US" w:eastAsia="ru-RU"/>
              </w:rPr>
            </w:pP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 xml:space="preserve"> (п.</w:t>
            </w:r>
            <w:r w:rsidR="00CA08F1" w:rsidRPr="00CA08F1">
              <w:rPr>
                <w:rFonts w:ascii="Times New Roman" w:hAnsi="Times New Roman" w:cs="Times New Roman"/>
                <w:noProof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 xml:space="preserve">ЛС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23-1</w:t>
            </w:r>
            <w:r w:rsidR="00CA08F1">
              <w:rPr>
                <w:rFonts w:ascii="Times New Roman" w:hAnsi="Times New Roman" w:cs="Times New Roman"/>
                <w:noProof/>
                <w:lang w:val="en-US" w:eastAsia="ru-RU"/>
              </w:rPr>
              <w:t>8)</w:t>
            </w:r>
          </w:p>
          <w:p w:rsidR="003A348E" w:rsidRDefault="003A348E" w:rsidP="005811FA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2864"/>
            </w:tblGrid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348E" w:rsidRPr="004425AA" w:rsidRDefault="003A348E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348E" w:rsidRPr="004425AA" w:rsidRDefault="003A348E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CA08F1" w:rsidRDefault="00CA08F1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Состав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CA08F1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Водная дисперсия сополимеров акрилатов</w:t>
                  </w:r>
                </w:p>
              </w:tc>
            </w:tr>
            <w:tr w:rsidR="003A348E" w:rsidRPr="00AC1142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CA08F1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r w:rsidR="002D49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лотность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AC1142" w:rsidRDefault="00CA08F1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shd w:val="clear" w:color="auto" w:fill="FFFFFF"/>
                    </w:rPr>
                    <w:t>Около 1,0 кг/дм3</w:t>
                  </w:r>
                </w:p>
              </w:tc>
            </w:tr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CA08F1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Время высыхани</w:t>
                  </w:r>
                  <w:r w:rsidR="00455C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CA08F1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часа</w:t>
                  </w:r>
                </w:p>
              </w:tc>
            </w:tr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236EB4" w:rsidP="00236EB4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Температура транспортировки и применения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236EB4" w:rsidP="00236EB4">
                  <w:pPr>
                    <w:tabs>
                      <w:tab w:val="left" w:pos="361"/>
                    </w:tabs>
                    <w:spacing w:after="0" w:line="240" w:lineRule="auto"/>
                    <w:ind w:left="66" w:right="-79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 0 до +35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град.С</w:t>
                  </w:r>
                  <w:proofErr w:type="spellEnd"/>
                </w:p>
              </w:tc>
            </w:tr>
            <w:tr w:rsidR="00236EB4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6EB4" w:rsidRDefault="00236EB4" w:rsidP="00236EB4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Расход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6EB4" w:rsidRDefault="00236EB4" w:rsidP="00236EB4">
                  <w:pPr>
                    <w:tabs>
                      <w:tab w:val="left" w:pos="361"/>
                    </w:tabs>
                    <w:spacing w:after="0" w:line="240" w:lineRule="auto"/>
                    <w:ind w:left="66" w:right="-79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0,1 -0,2 л/м2</w:t>
                  </w:r>
                </w:p>
              </w:tc>
            </w:tr>
            <w:tr w:rsidR="003A348E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3A348E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48E" w:rsidRPr="004425AA" w:rsidRDefault="003A348E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A348E" w:rsidRPr="004425AA" w:rsidRDefault="003A348E" w:rsidP="005811FA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8E" w:rsidRPr="00CA08F1" w:rsidRDefault="00CA08F1" w:rsidP="00CA4FD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 23-1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8</w:t>
            </w:r>
          </w:p>
        </w:tc>
      </w:tr>
      <w:tr w:rsidR="002D495D" w:rsidRPr="004425AA" w:rsidTr="008A529C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D" w:rsidRDefault="002D495D" w:rsidP="008A529C">
            <w:pPr>
              <w:spacing w:after="0" w:line="240" w:lineRule="auto"/>
              <w:ind w:left="-108" w:right="-17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Default="00236EB4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Смесь сухая гидроизоляционная АкваНАСТ-А</w:t>
            </w:r>
          </w:p>
          <w:p w:rsidR="00236EB4" w:rsidRPr="0075319C" w:rsidRDefault="00236EB4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75319C" w:rsidRPr="003A348E" w:rsidRDefault="0075319C" w:rsidP="0075319C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>или эквивалент с равнозначными характеристиками</w:t>
            </w:r>
          </w:p>
          <w:p w:rsidR="0075319C" w:rsidRPr="003A348E" w:rsidRDefault="0075319C" w:rsidP="0075319C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 xml:space="preserve"> (п.</w:t>
            </w:r>
            <w:r w:rsidR="00236EB4">
              <w:rPr>
                <w:rFonts w:ascii="Times New Roman" w:hAnsi="Times New Roman" w:cs="Times New Roman"/>
                <w:noProof/>
                <w:lang w:eastAsia="ru-RU"/>
              </w:rPr>
              <w:t>2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8 </w:t>
            </w:r>
            <w:r w:rsidRPr="003A348E">
              <w:rPr>
                <w:rFonts w:ascii="Times New Roman" w:hAnsi="Times New Roman" w:cs="Times New Roman"/>
                <w:noProof/>
                <w:lang w:eastAsia="ru-RU"/>
              </w:rPr>
              <w:t xml:space="preserve">ЛС </w:t>
            </w:r>
            <w:r w:rsidR="00236EB4">
              <w:rPr>
                <w:rFonts w:ascii="Times New Roman" w:hAnsi="Times New Roman" w:cs="Times New Roman"/>
                <w:noProof/>
                <w:lang w:eastAsia="ru-RU"/>
              </w:rPr>
              <w:t>23-18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)             </w:t>
            </w:r>
          </w:p>
          <w:p w:rsidR="0075319C" w:rsidRPr="0075319C" w:rsidRDefault="0075319C" w:rsidP="003A348E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2864"/>
            </w:tblGrid>
            <w:tr w:rsidR="0075319C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19C" w:rsidRPr="004425AA" w:rsidRDefault="0075319C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19C" w:rsidRPr="004425AA" w:rsidRDefault="0075319C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425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75319C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18685B" w:rsidP="0018685B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Прочность сцепления с бетоном (адгезия)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18685B" w:rsidRDefault="0018685B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1,5Мпа</w:t>
                  </w:r>
                </w:p>
              </w:tc>
            </w:tr>
            <w:tr w:rsidR="0075319C" w:rsidRPr="00AC1142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18685B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Жизнеспособность раствора, не менее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AC1142" w:rsidRDefault="0018685B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час.</w:t>
                  </w:r>
                </w:p>
              </w:tc>
            </w:tr>
            <w:tr w:rsidR="0075319C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18685B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Вязкость растворной смеси 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Суттарду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не более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18685B" w:rsidP="002E6E5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мм</w:t>
                  </w:r>
                </w:p>
              </w:tc>
            </w:tr>
            <w:tr w:rsidR="0075319C" w:rsidRPr="004425AA" w:rsidTr="002E6E5C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18685B" w:rsidP="002E6E5C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Средний расход при двуслойном нанесении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319C" w:rsidRPr="004425AA" w:rsidRDefault="0018685B" w:rsidP="002E6E5C">
                  <w:pPr>
                    <w:tabs>
                      <w:tab w:val="left" w:pos="361"/>
                    </w:tabs>
                    <w:spacing w:after="0" w:line="240" w:lineRule="auto"/>
                    <w:ind w:left="66" w:right="-79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1,5 кг/м2</w:t>
                  </w:r>
                </w:p>
              </w:tc>
            </w:tr>
          </w:tbl>
          <w:p w:rsidR="002D495D" w:rsidRPr="004425AA" w:rsidRDefault="002D495D" w:rsidP="002E6E5C">
            <w:pPr>
              <w:spacing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D" w:rsidRPr="00236EB4" w:rsidRDefault="0075319C" w:rsidP="00236E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 23-</w:t>
            </w:r>
            <w:r w:rsidR="00236EB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18</w:t>
            </w:r>
          </w:p>
        </w:tc>
      </w:tr>
    </w:tbl>
    <w:p w:rsidR="00B05A45" w:rsidRDefault="00B05A45" w:rsidP="00B05A45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45" w:rsidRDefault="00B05A45" w:rsidP="00B05A45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45" w:rsidRPr="00EC0D1B" w:rsidRDefault="00B05A45" w:rsidP="00B05A45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45" w:rsidRPr="00EC0D1B" w:rsidRDefault="00B05A45" w:rsidP="00B05A45">
      <w:pPr>
        <w:shd w:val="clear" w:color="auto" w:fill="FFFFFF"/>
        <w:spacing w:after="60" w:line="240" w:lineRule="auto"/>
        <w:ind w:left="851" w:hanging="993"/>
        <w:jc w:val="both"/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</w:pPr>
      <w:r w:rsidRPr="00EC0D1B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lastRenderedPageBreak/>
        <w:t>Главный архитектор-</w:t>
      </w:r>
    </w:p>
    <w:p w:rsidR="00B05A45" w:rsidRDefault="00B05A45" w:rsidP="00B05A45">
      <w:pPr>
        <w:widowControl w:val="0"/>
        <w:autoSpaceDE w:val="0"/>
        <w:autoSpaceDN w:val="0"/>
        <w:adjustRightInd w:val="0"/>
        <w:spacing w:after="0" w:line="240" w:lineRule="auto"/>
        <w:ind w:left="851" w:hanging="993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EC0D1B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 xml:space="preserve">начальник отдела 808                       </w:t>
      </w: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 xml:space="preserve">                             </w:t>
      </w:r>
      <w:r w:rsidR="00C24233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>п/п</w:t>
      </w: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 xml:space="preserve">                                               </w:t>
      </w:r>
      <w:r w:rsidRPr="00EC0D1B">
        <w:rPr>
          <w:rFonts w:ascii="Times New Roman" w:eastAsia="Calibri" w:hAnsi="Times New Roman" w:cs="Times New Roman"/>
          <w:bCs/>
          <w:spacing w:val="-2"/>
          <w:sz w:val="24"/>
          <w:szCs w:val="24"/>
          <w:lang w:eastAsia="ru-RU"/>
        </w:rPr>
        <w:t>А.А. Зельдин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B05A45" w:rsidRDefault="00B05A45" w:rsidP="004E0924">
      <w:pPr>
        <w:spacing w:after="60" w:line="240" w:lineRule="auto"/>
        <w:ind w:right="284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</w:p>
    <w:sectPr w:rsidR="00B05A45" w:rsidSect="004E0924">
      <w:pgSz w:w="11906" w:h="16838"/>
      <w:pgMar w:top="1103" w:right="56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46F52"/>
    <w:multiLevelType w:val="multilevel"/>
    <w:tmpl w:val="D3A61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25C0B"/>
    <w:multiLevelType w:val="hybridMultilevel"/>
    <w:tmpl w:val="1152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EC"/>
    <w:rsid w:val="0003268E"/>
    <w:rsid w:val="00034263"/>
    <w:rsid w:val="000450A4"/>
    <w:rsid w:val="000B2B47"/>
    <w:rsid w:val="000B4FBC"/>
    <w:rsid w:val="00124492"/>
    <w:rsid w:val="001369F2"/>
    <w:rsid w:val="0018685B"/>
    <w:rsid w:val="00211684"/>
    <w:rsid w:val="00236EB4"/>
    <w:rsid w:val="0024683C"/>
    <w:rsid w:val="00252456"/>
    <w:rsid w:val="002929E0"/>
    <w:rsid w:val="002D495D"/>
    <w:rsid w:val="002D4FA9"/>
    <w:rsid w:val="002E5FBB"/>
    <w:rsid w:val="002E707C"/>
    <w:rsid w:val="00307A3C"/>
    <w:rsid w:val="003624F4"/>
    <w:rsid w:val="00371999"/>
    <w:rsid w:val="003A348E"/>
    <w:rsid w:val="003B3107"/>
    <w:rsid w:val="00410E6C"/>
    <w:rsid w:val="004351FB"/>
    <w:rsid w:val="00444F56"/>
    <w:rsid w:val="004521FE"/>
    <w:rsid w:val="00455C1C"/>
    <w:rsid w:val="004A4EEB"/>
    <w:rsid w:val="004B467C"/>
    <w:rsid w:val="004B67CA"/>
    <w:rsid w:val="004D3C51"/>
    <w:rsid w:val="004D461A"/>
    <w:rsid w:val="004E0924"/>
    <w:rsid w:val="005936E5"/>
    <w:rsid w:val="005B7EF0"/>
    <w:rsid w:val="005F6315"/>
    <w:rsid w:val="00636212"/>
    <w:rsid w:val="00636C28"/>
    <w:rsid w:val="007401CB"/>
    <w:rsid w:val="0075319C"/>
    <w:rsid w:val="007632DA"/>
    <w:rsid w:val="00791D2A"/>
    <w:rsid w:val="007A215A"/>
    <w:rsid w:val="00826DD1"/>
    <w:rsid w:val="00843EEC"/>
    <w:rsid w:val="008A529C"/>
    <w:rsid w:val="008E4719"/>
    <w:rsid w:val="008E4D2A"/>
    <w:rsid w:val="0094209B"/>
    <w:rsid w:val="00944E92"/>
    <w:rsid w:val="009649C0"/>
    <w:rsid w:val="009F7809"/>
    <w:rsid w:val="00A56609"/>
    <w:rsid w:val="00AA6B64"/>
    <w:rsid w:val="00AB0BFB"/>
    <w:rsid w:val="00AF3F8B"/>
    <w:rsid w:val="00AF6FAD"/>
    <w:rsid w:val="00B05A45"/>
    <w:rsid w:val="00B25942"/>
    <w:rsid w:val="00B315D4"/>
    <w:rsid w:val="00B468B8"/>
    <w:rsid w:val="00B77462"/>
    <w:rsid w:val="00B96576"/>
    <w:rsid w:val="00BC2568"/>
    <w:rsid w:val="00BD598F"/>
    <w:rsid w:val="00BF4DFE"/>
    <w:rsid w:val="00C24233"/>
    <w:rsid w:val="00C45D0E"/>
    <w:rsid w:val="00C5715A"/>
    <w:rsid w:val="00CA08F1"/>
    <w:rsid w:val="00CA4FDF"/>
    <w:rsid w:val="00CB7B03"/>
    <w:rsid w:val="00CE1B62"/>
    <w:rsid w:val="00CF558D"/>
    <w:rsid w:val="00D10CEF"/>
    <w:rsid w:val="00D11BC5"/>
    <w:rsid w:val="00D4028B"/>
    <w:rsid w:val="00D42C36"/>
    <w:rsid w:val="00D4324A"/>
    <w:rsid w:val="00D57E8F"/>
    <w:rsid w:val="00DE41C7"/>
    <w:rsid w:val="00DF2462"/>
    <w:rsid w:val="00E16292"/>
    <w:rsid w:val="00E23CEE"/>
    <w:rsid w:val="00E651C7"/>
    <w:rsid w:val="00E67710"/>
    <w:rsid w:val="00E86A7C"/>
    <w:rsid w:val="00E9491D"/>
    <w:rsid w:val="00EA4820"/>
    <w:rsid w:val="00EC0D1B"/>
    <w:rsid w:val="00ED572C"/>
    <w:rsid w:val="00F036EC"/>
    <w:rsid w:val="00F26925"/>
    <w:rsid w:val="00F43060"/>
    <w:rsid w:val="00F52271"/>
    <w:rsid w:val="00FF3D73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40BE1C-3F1D-4B48-A523-9F8CFB4E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7EC09-EA00-4217-8D96-26E4C818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5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Третиных Наталья Александровна</cp:lastModifiedBy>
  <cp:revision>68</cp:revision>
  <cp:lastPrinted>2018-04-28T10:58:00Z</cp:lastPrinted>
  <dcterms:created xsi:type="dcterms:W3CDTF">2017-10-23T04:35:00Z</dcterms:created>
  <dcterms:modified xsi:type="dcterms:W3CDTF">2023-08-28T09:43:00Z</dcterms:modified>
</cp:coreProperties>
</file>