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201A4C">
              <w:rPr>
                <w:bCs/>
                <w:sz w:val="24"/>
                <w:szCs w:val="24"/>
              </w:rPr>
              <w:t>28</w:t>
            </w:r>
            <w:r w:rsidR="006D5F11">
              <w:rPr>
                <w:bCs/>
                <w:sz w:val="24"/>
                <w:szCs w:val="24"/>
              </w:rPr>
              <w:t>.</w:t>
            </w:r>
            <w:r w:rsidR="00201A4C">
              <w:rPr>
                <w:bCs/>
                <w:sz w:val="24"/>
                <w:szCs w:val="24"/>
              </w:rPr>
              <w:t>02</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C5533">
              <w:rPr>
                <w:sz w:val="28"/>
                <w:szCs w:val="28"/>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F11F29">
        <w:rPr>
          <w:rFonts w:ascii="Times New Roman" w:hAnsi="Times New Roman"/>
          <w:sz w:val="32"/>
          <w:szCs w:val="32"/>
        </w:rPr>
        <w:t xml:space="preserve">выполнение работ по очистке кровель и карнизов </w:t>
      </w:r>
      <w:r w:rsidR="001F3F70">
        <w:rPr>
          <w:rFonts w:ascii="Times New Roman" w:hAnsi="Times New Roman"/>
          <w:sz w:val="32"/>
          <w:szCs w:val="32"/>
        </w:rPr>
        <w:t xml:space="preserve">от снега и наледи на 1 территории АО «НПО автоматики» </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1F3F70" w:rsidP="00F8069E">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Выполнение работ по очистке кровель и карнизов от снега и наледи на 1 территории АО «НПО автоматики» </w:t>
            </w:r>
            <w:r w:rsidR="00F8069E">
              <w:rPr>
                <w:rFonts w:ascii="Times New Roman" w:hAnsi="Times New Roman"/>
                <w:sz w:val="24"/>
                <w:szCs w:val="24"/>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876085">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r w:rsidR="00876085">
              <w:rPr>
                <w:rFonts w:ascii="Times New Roman" w:eastAsia="Calibri" w:hAnsi="Times New Roman"/>
                <w:sz w:val="24"/>
                <w:szCs w:val="24"/>
              </w:rPr>
              <w:t xml:space="preserve"> </w:t>
            </w:r>
          </w:p>
          <w:p w:rsidR="00736415" w:rsidRPr="00A505AA" w:rsidRDefault="00D02F8F" w:rsidP="008070D5">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8070D5">
              <w:rPr>
                <w:rFonts w:ascii="Times New Roman" w:eastAsia="Calibri" w:hAnsi="Times New Roman"/>
                <w:sz w:val="24"/>
                <w:szCs w:val="24"/>
              </w:rPr>
              <w:t xml:space="preserve">Сажаева Наталья Николаевна </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5F6761">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1F3F70">
              <w:rPr>
                <w:rFonts w:ascii="Times New Roman" w:hAnsi="Times New Roman"/>
                <w:bCs/>
                <w:sz w:val="24"/>
                <w:szCs w:val="24"/>
              </w:rPr>
              <w:t>- 112</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6A0D8A" w:rsidRPr="008B1C54" w:rsidRDefault="006A0D8A" w:rsidP="006A0D8A">
            <w:pPr>
              <w:spacing w:after="0" w:line="240" w:lineRule="auto"/>
              <w:ind w:left="66"/>
              <w:jc w:val="both"/>
              <w:rPr>
                <w:rFonts w:ascii="Times New Roman" w:eastAsia="Calibri" w:hAnsi="Times New Roman"/>
                <w:i/>
                <w:sz w:val="24"/>
                <w:szCs w:val="24"/>
              </w:rPr>
            </w:pPr>
            <w:r w:rsidRPr="006A0D8A">
              <w:rPr>
                <w:rFonts w:ascii="Times New Roman" w:eastAsia="Calibri" w:hAnsi="Times New Roman"/>
                <w:sz w:val="24"/>
                <w:szCs w:val="24"/>
              </w:rPr>
              <w:t xml:space="preserve">Наименование электронной торговой площадки (далее – ЭТП) в информационно-телекоммуникационной сети «Интернет»: </w:t>
            </w:r>
            <w:r w:rsidR="008B1C54" w:rsidRPr="008B1C54">
              <w:rPr>
                <w:rFonts w:ascii="Times New Roman"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F17560" w:rsidRPr="008B1C54" w:rsidRDefault="008B1C54" w:rsidP="008B1C54">
            <w:pPr>
              <w:pStyle w:val="af4"/>
              <w:tabs>
                <w:tab w:val="left" w:pos="0"/>
              </w:tabs>
              <w:spacing w:after="0" w:line="240" w:lineRule="auto"/>
              <w:ind w:left="0"/>
              <w:jc w:val="both"/>
              <w:rPr>
                <w:rFonts w:ascii="Times New Roman" w:hAnsi="Times New Roman"/>
                <w:i/>
                <w:sz w:val="24"/>
                <w:szCs w:val="24"/>
              </w:rPr>
            </w:pPr>
            <w:r w:rsidRPr="008B1C54">
              <w:rPr>
                <w:rFonts w:ascii="Times New Roman" w:hAnsi="Times New Roman"/>
                <w:i/>
                <w:sz w:val="24"/>
                <w:szCs w:val="24"/>
              </w:rPr>
              <w:t xml:space="preserve">Адрес электронной торговой площадки в информационно-телекоммуникационной сети «Интернет» – </w:t>
            </w:r>
            <w:hyperlink r:id="rId12" w:history="1">
              <w:r w:rsidRPr="00755F0C">
                <w:rPr>
                  <w:rStyle w:val="affd"/>
                  <w:rFonts w:ascii="Times New Roman" w:hAnsi="Times New Roman"/>
                  <w:i/>
                  <w:sz w:val="24"/>
                  <w:szCs w:val="24"/>
                </w:rPr>
                <w:t>https://etp.gpb.ru</w:t>
              </w:r>
            </w:hyperlink>
            <w:r>
              <w:rPr>
                <w:rFonts w:ascii="Times New Roman" w:hAnsi="Times New Roman"/>
                <w:i/>
                <w:sz w:val="24"/>
                <w:szCs w:val="24"/>
              </w:rPr>
              <w:t xml:space="preserve"> </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0E6009" w:rsidRDefault="005A2599" w:rsidP="00736415">
            <w:pPr>
              <w:pStyle w:val="afffff6"/>
              <w:jc w:val="left"/>
              <w:rPr>
                <w:rFonts w:ascii="Times New Roman" w:hAnsi="Times New Roman"/>
                <w:sz w:val="24"/>
                <w:szCs w:val="24"/>
              </w:rPr>
            </w:pPr>
            <w:r w:rsidRPr="000E6009">
              <w:rPr>
                <w:rFonts w:ascii="Times New Roman" w:hAnsi="Times New Roman"/>
                <w:sz w:val="24"/>
                <w:szCs w:val="24"/>
              </w:rPr>
              <w:t>Сведения о НМЦ</w:t>
            </w:r>
          </w:p>
        </w:tc>
        <w:tc>
          <w:tcPr>
            <w:tcW w:w="6881" w:type="dxa"/>
            <w:shd w:val="clear" w:color="auto" w:fill="FFFFFF" w:themeFill="background1"/>
            <w:vAlign w:val="center"/>
          </w:tcPr>
          <w:p w:rsidR="001F3F70" w:rsidRPr="000E6009" w:rsidRDefault="002064B6" w:rsidP="00CF1AE6">
            <w:pPr>
              <w:spacing w:after="0" w:line="240" w:lineRule="auto"/>
              <w:jc w:val="both"/>
              <w:rPr>
                <w:rFonts w:ascii="Times New Roman" w:hAnsi="Times New Roman"/>
                <w:sz w:val="24"/>
                <w:szCs w:val="24"/>
              </w:rPr>
            </w:pPr>
            <w:r w:rsidRPr="000E6009">
              <w:rPr>
                <w:rFonts w:ascii="Times New Roman" w:hAnsi="Times New Roman"/>
                <w:sz w:val="24"/>
                <w:szCs w:val="24"/>
              </w:rPr>
              <w:t>НМЦ, как максимально возможная сумма всех платежей по договору: 1 000 000 (Один миллион) рублей 00 копеек, с учетом всех налогов, сборов и других обязательных платежей.</w:t>
            </w:r>
            <w:r w:rsidR="00CF1AE6" w:rsidRPr="000E6009">
              <w:rPr>
                <w:rFonts w:ascii="Times New Roman" w:hAnsi="Times New Roman"/>
                <w:sz w:val="24"/>
                <w:szCs w:val="24"/>
              </w:rPr>
              <w:t xml:space="preserve"> </w:t>
            </w:r>
            <w:r w:rsidR="001F3F70" w:rsidRPr="000E6009">
              <w:rPr>
                <w:rFonts w:ascii="Times New Roman" w:eastAsia="Calibri" w:hAnsi="Times New Roman"/>
                <w:sz w:val="24"/>
                <w:szCs w:val="24"/>
              </w:rPr>
              <w:t>Цена за единицу продукции указана в Приложении № 1 к обоснованию НМЦ № 2/</w:t>
            </w:r>
            <w:r w:rsidR="00DC7F16" w:rsidRPr="000E6009">
              <w:rPr>
                <w:rFonts w:ascii="Times New Roman" w:eastAsia="Calibri" w:hAnsi="Times New Roman"/>
                <w:sz w:val="24"/>
                <w:szCs w:val="24"/>
              </w:rPr>
              <w:t>1149.1</w:t>
            </w:r>
            <w:r w:rsidR="001F3F70" w:rsidRPr="000E6009">
              <w:rPr>
                <w:rFonts w:ascii="Times New Roman" w:eastAsia="Calibri" w:hAnsi="Times New Roman"/>
                <w:sz w:val="24"/>
                <w:szCs w:val="24"/>
              </w:rPr>
              <w:t>, прилагается отдельным файлом     (Приложений № 3 к Извещению).</w:t>
            </w:r>
          </w:p>
          <w:p w:rsidR="00202718" w:rsidRPr="000E6009" w:rsidRDefault="001F3F70" w:rsidP="00CF1AE6">
            <w:pPr>
              <w:overflowPunct w:val="0"/>
              <w:autoSpaceDE w:val="0"/>
              <w:autoSpaceDN w:val="0"/>
              <w:adjustRightInd w:val="0"/>
              <w:spacing w:after="0" w:line="240" w:lineRule="auto"/>
              <w:jc w:val="both"/>
              <w:textAlignment w:val="baseline"/>
              <w:rPr>
                <w:rFonts w:ascii="Times New Roman" w:eastAsia="Calibri" w:hAnsi="Times New Roman"/>
                <w:sz w:val="24"/>
                <w:szCs w:val="24"/>
              </w:rPr>
            </w:pPr>
            <w:r w:rsidRPr="000E6009">
              <w:rPr>
                <w:rFonts w:ascii="Times New Roman" w:eastAsia="Calibri" w:hAnsi="Times New Roman"/>
                <w:i/>
                <w:sz w:val="24"/>
                <w:szCs w:val="24"/>
              </w:rPr>
              <w:t>Участник процедуры закупки указывает в своей заявке на участие в закупке цену каждой единицы продукции</w:t>
            </w:r>
            <w:r w:rsidRPr="000E6009">
              <w:rPr>
                <w:rFonts w:ascii="Times New Roman" w:eastAsia="Calibri" w:hAnsi="Times New Roman"/>
                <w:sz w:val="24"/>
                <w:szCs w:val="24"/>
              </w:rPr>
              <w:t>.</w:t>
            </w:r>
          </w:p>
          <w:p w:rsidR="001F3F70" w:rsidRPr="000E6009" w:rsidRDefault="00202718" w:rsidP="00CF1AE6">
            <w:pPr>
              <w:overflowPunct w:val="0"/>
              <w:autoSpaceDE w:val="0"/>
              <w:autoSpaceDN w:val="0"/>
              <w:adjustRightInd w:val="0"/>
              <w:spacing w:after="0" w:line="240" w:lineRule="auto"/>
              <w:jc w:val="both"/>
              <w:textAlignment w:val="baseline"/>
              <w:rPr>
                <w:rFonts w:ascii="Times New Roman" w:eastAsia="Calibri" w:hAnsi="Times New Roman"/>
                <w:i/>
                <w:sz w:val="24"/>
                <w:szCs w:val="24"/>
                <w:u w:val="single"/>
              </w:rPr>
            </w:pPr>
            <w:r w:rsidRPr="000E6009">
              <w:rPr>
                <w:rFonts w:ascii="Times New Roman" w:eastAsia="Calibri" w:hAnsi="Times New Roman"/>
                <w:i/>
                <w:sz w:val="24"/>
                <w:szCs w:val="24"/>
              </w:rPr>
              <w:lastRenderedPageBreak/>
              <w:t>У</w:t>
            </w:r>
            <w:r w:rsidR="001F3F70" w:rsidRPr="000E6009">
              <w:rPr>
                <w:rFonts w:ascii="Times New Roman" w:eastAsia="Calibri" w:hAnsi="Times New Roman"/>
                <w:i/>
                <w:sz w:val="24"/>
                <w:szCs w:val="24"/>
              </w:rPr>
              <w:t>частник процедуры закупки должен предложить одинаковый размер (процент) снижения в отношении всего перечня единиц продукции.</w:t>
            </w:r>
          </w:p>
          <w:p w:rsidR="00745672" w:rsidRPr="000E6009" w:rsidRDefault="001F3F70" w:rsidP="00CF1AE6">
            <w:pPr>
              <w:spacing w:after="0" w:line="240" w:lineRule="auto"/>
              <w:jc w:val="both"/>
              <w:rPr>
                <w:rFonts w:ascii="Times New Roman" w:eastAsia="Calibri" w:hAnsi="Times New Roman"/>
                <w:b/>
                <w:i/>
                <w:u w:val="single"/>
              </w:rPr>
            </w:pPr>
            <w:r w:rsidRPr="000E6009">
              <w:rPr>
                <w:rFonts w:ascii="Times New Roman" w:eastAsia="Calibri" w:hAnsi="Times New Roman"/>
                <w:i/>
                <w:sz w:val="24"/>
                <w:szCs w:val="24"/>
              </w:rPr>
              <w:t xml:space="preserve">Начальная (максимальная) цена как </w:t>
            </w:r>
            <w:r w:rsidRPr="000E6009">
              <w:rPr>
                <w:rFonts w:ascii="Times New Roman" w:eastAsia="Times New Roman" w:hAnsi="Times New Roman"/>
                <w:i/>
                <w:sz w:val="24"/>
                <w:szCs w:val="24"/>
                <w:lang w:eastAsia="ru-RU"/>
              </w:rPr>
              <w:t>максимально возможная сумма всех платежей по договору</w:t>
            </w:r>
            <w:r w:rsidRPr="000E6009">
              <w:rPr>
                <w:rFonts w:ascii="Times New Roman" w:eastAsia="Times New Roman" w:hAnsi="Times New Roman"/>
                <w:b/>
                <w:i/>
                <w:sz w:val="24"/>
                <w:szCs w:val="24"/>
                <w:lang w:eastAsia="ru-RU"/>
              </w:rPr>
              <w:t xml:space="preserve"> </w:t>
            </w:r>
            <w:r w:rsidRPr="000E6009">
              <w:rPr>
                <w:rFonts w:ascii="Times New Roman" w:eastAsia="Calibri" w:hAnsi="Times New Roman"/>
                <w:i/>
                <w:sz w:val="24"/>
                <w:szCs w:val="24"/>
              </w:rPr>
              <w:t>не является конкурентным фактором и включается в состав договора как максимальный предел суммы, на которую может быть поставлена продукция.</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0E6009" w:rsidRDefault="005A2599" w:rsidP="00736415">
            <w:pPr>
              <w:pStyle w:val="afffff6"/>
              <w:jc w:val="left"/>
              <w:rPr>
                <w:rFonts w:ascii="Times New Roman" w:hAnsi="Times New Roman"/>
                <w:sz w:val="24"/>
                <w:szCs w:val="24"/>
              </w:rPr>
            </w:pPr>
            <w:r w:rsidRPr="000E6009">
              <w:rPr>
                <w:rFonts w:ascii="Times New Roman" w:hAnsi="Times New Roman"/>
                <w:sz w:val="24"/>
                <w:szCs w:val="24"/>
              </w:rPr>
              <w:t xml:space="preserve">Порядок формирования цены договора </w:t>
            </w:r>
          </w:p>
        </w:tc>
        <w:tc>
          <w:tcPr>
            <w:tcW w:w="6881" w:type="dxa"/>
            <w:vAlign w:val="center"/>
          </w:tcPr>
          <w:p w:rsidR="001D1DF7" w:rsidRPr="000E6009" w:rsidRDefault="002064B6" w:rsidP="001D1DF7">
            <w:pPr>
              <w:keepNext/>
              <w:keepLines/>
              <w:tabs>
                <w:tab w:val="left" w:pos="353"/>
              </w:tabs>
              <w:suppressAutoHyphens/>
              <w:spacing w:after="0" w:line="240" w:lineRule="auto"/>
              <w:jc w:val="both"/>
              <w:rPr>
                <w:rFonts w:ascii="Times New Roman" w:hAnsi="Times New Roman"/>
                <w:i/>
                <w:sz w:val="24"/>
                <w:szCs w:val="24"/>
              </w:rPr>
            </w:pPr>
            <w:r w:rsidRPr="000E6009">
              <w:rPr>
                <w:rFonts w:ascii="Times New Roman" w:eastAsia="Times New Roman" w:hAnsi="Times New Roman"/>
                <w:sz w:val="24"/>
                <w:szCs w:val="24"/>
                <w:lang w:eastAsia="ru-RU"/>
              </w:rPr>
              <w:t xml:space="preserve">Предлагаемая участником цена за единицу </w:t>
            </w:r>
            <w:r w:rsidR="00CF1AE6" w:rsidRPr="000E6009">
              <w:rPr>
                <w:rFonts w:ascii="Times New Roman" w:eastAsia="Times New Roman" w:hAnsi="Times New Roman"/>
                <w:sz w:val="24"/>
                <w:szCs w:val="24"/>
                <w:lang w:eastAsia="ru-RU"/>
              </w:rPr>
              <w:t>продукции</w:t>
            </w:r>
            <w:r w:rsidRPr="000E6009">
              <w:rPr>
                <w:rFonts w:ascii="Times New Roman" w:eastAsia="Times New Roman" w:hAnsi="Times New Roman"/>
                <w:sz w:val="24"/>
                <w:szCs w:val="24"/>
                <w:lang w:eastAsia="ru-RU"/>
              </w:rPr>
              <w:t xml:space="preserve"> не должна превышать начальную (максимальную) цену за единицу </w:t>
            </w:r>
            <w:r w:rsidR="00CF1AE6" w:rsidRPr="000E6009">
              <w:rPr>
                <w:rFonts w:ascii="Times New Roman" w:eastAsia="Times New Roman" w:hAnsi="Times New Roman"/>
                <w:sz w:val="24"/>
                <w:szCs w:val="24"/>
                <w:lang w:eastAsia="ru-RU"/>
              </w:rPr>
              <w:t>продукции</w:t>
            </w:r>
            <w:r w:rsidRPr="000E6009">
              <w:rPr>
                <w:rFonts w:ascii="Times New Roman" w:eastAsia="Times New Roman" w:hAnsi="Times New Roman"/>
                <w:sz w:val="24"/>
                <w:szCs w:val="24"/>
                <w:lang w:eastAsia="ru-RU"/>
              </w:rPr>
              <w:t xml:space="preserve">, </w:t>
            </w:r>
            <w:r w:rsidRPr="000E6009">
              <w:rPr>
                <w:rFonts w:ascii="Times New Roman" w:hAnsi="Times New Roman"/>
                <w:i/>
                <w:sz w:val="24"/>
                <w:szCs w:val="24"/>
              </w:rPr>
              <w:t>указанных</w:t>
            </w:r>
            <w:r w:rsidRPr="000E6009">
              <w:rPr>
                <w:rFonts w:ascii="Times New Roman" w:eastAsia="Times New Roman" w:hAnsi="Times New Roman"/>
                <w:sz w:val="24"/>
                <w:szCs w:val="24"/>
                <w:lang w:eastAsia="ru-RU"/>
              </w:rPr>
              <w:t xml:space="preserve"> </w:t>
            </w:r>
            <w:r w:rsidRPr="000E6009">
              <w:rPr>
                <w:rFonts w:ascii="Times New Roman" w:hAnsi="Times New Roman"/>
                <w:i/>
                <w:sz w:val="24"/>
                <w:szCs w:val="24"/>
              </w:rPr>
              <w:t xml:space="preserve">в </w:t>
            </w:r>
            <w:r w:rsidR="001D1DF7" w:rsidRPr="000E6009">
              <w:rPr>
                <w:rFonts w:ascii="Times New Roman" w:hAnsi="Times New Roman"/>
                <w:i/>
                <w:sz w:val="24"/>
                <w:szCs w:val="24"/>
              </w:rPr>
              <w:t xml:space="preserve">Приложении №1 к </w:t>
            </w:r>
            <w:bookmarkStart w:id="12" w:name="_GoBack"/>
            <w:r w:rsidR="001D1DF7" w:rsidRPr="000E6009">
              <w:rPr>
                <w:rFonts w:ascii="Times New Roman" w:hAnsi="Times New Roman"/>
                <w:i/>
                <w:sz w:val="24"/>
                <w:szCs w:val="24"/>
              </w:rPr>
              <w:t>обоснованию НМЦ № 2/1149.1 (Приложений № 3 к Извещению).</w:t>
            </w:r>
          </w:p>
          <w:bookmarkEnd w:id="12"/>
          <w:p w:rsidR="002064B6" w:rsidRPr="000E6009" w:rsidRDefault="001D1DF7" w:rsidP="001D1DF7">
            <w:pPr>
              <w:keepNext/>
              <w:keepLines/>
              <w:tabs>
                <w:tab w:val="left" w:pos="353"/>
              </w:tabs>
              <w:suppressAutoHyphens/>
              <w:spacing w:after="0" w:line="240" w:lineRule="auto"/>
              <w:jc w:val="both"/>
              <w:rPr>
                <w:rFonts w:ascii="Times New Roman" w:hAnsi="Times New Roman"/>
                <w:i/>
                <w:sz w:val="24"/>
                <w:szCs w:val="24"/>
              </w:rPr>
            </w:pPr>
            <w:r w:rsidRPr="000E6009">
              <w:rPr>
                <w:rFonts w:ascii="Times New Roman" w:eastAsia="Times New Roman" w:hAnsi="Times New Roman"/>
                <w:sz w:val="24"/>
                <w:szCs w:val="24"/>
                <w:lang w:eastAsia="ru-RU"/>
              </w:rPr>
              <w:t>Участник закупки</w:t>
            </w:r>
            <w:r w:rsidR="00CF1AE6" w:rsidRPr="000E6009">
              <w:rPr>
                <w:rFonts w:ascii="Times New Roman" w:eastAsia="Times New Roman" w:hAnsi="Times New Roman"/>
                <w:sz w:val="24"/>
                <w:szCs w:val="24"/>
                <w:lang w:eastAsia="ru-RU"/>
              </w:rPr>
              <w:t xml:space="preserve"> учитывает</w:t>
            </w:r>
            <w:r w:rsidR="002064B6" w:rsidRPr="000E6009">
              <w:rPr>
                <w:rFonts w:ascii="Times New Roman" w:eastAsia="Times New Roman" w:hAnsi="Times New Roman"/>
                <w:sz w:val="24"/>
                <w:szCs w:val="24"/>
                <w:lang w:eastAsia="ru-RU"/>
              </w:rPr>
              <w:t xml:space="preserve"> расценки и цены по всем позициям перечня продукции, указанной в настоящем извещении.</w:t>
            </w:r>
          </w:p>
          <w:p w:rsidR="002064B6" w:rsidRPr="000E6009" w:rsidRDefault="002064B6" w:rsidP="002064B6">
            <w:pPr>
              <w:keepNext/>
              <w:keepLines/>
              <w:suppressLineNumbers/>
              <w:tabs>
                <w:tab w:val="left" w:pos="353"/>
              </w:tabs>
              <w:suppressAutoHyphens/>
              <w:spacing w:after="0" w:line="240" w:lineRule="auto"/>
              <w:jc w:val="both"/>
              <w:rPr>
                <w:rFonts w:ascii="Times New Roman" w:eastAsia="Times New Roman" w:hAnsi="Times New Roman"/>
                <w:sz w:val="24"/>
                <w:szCs w:val="24"/>
                <w:lang w:eastAsia="ru-RU"/>
              </w:rPr>
            </w:pPr>
            <w:r w:rsidRPr="000E6009">
              <w:rPr>
                <w:rFonts w:ascii="Times New Roman" w:eastAsia="Times New Roman" w:hAnsi="Times New Roman"/>
                <w:sz w:val="24"/>
                <w:szCs w:val="24"/>
                <w:lang w:eastAsia="ru-RU"/>
              </w:rPr>
              <w:t>Цена за единицу продукции, предлагаемая Участником, должна быть неизменной в течение всего срока действия договора.</w:t>
            </w:r>
          </w:p>
          <w:p w:rsidR="002064B6" w:rsidRPr="000E6009" w:rsidRDefault="002064B6" w:rsidP="002064B6">
            <w:pPr>
              <w:widowControl w:val="0"/>
              <w:tabs>
                <w:tab w:val="left" w:pos="353"/>
              </w:tabs>
              <w:autoSpaceDE w:val="0"/>
              <w:autoSpaceDN w:val="0"/>
              <w:adjustRightInd w:val="0"/>
              <w:spacing w:after="0" w:line="240" w:lineRule="auto"/>
              <w:jc w:val="both"/>
              <w:rPr>
                <w:rFonts w:ascii="Times New Roman" w:eastAsia="Times New Roman" w:hAnsi="Times New Roman"/>
                <w:sz w:val="24"/>
                <w:szCs w:val="24"/>
                <w:lang w:eastAsia="ru-RU"/>
              </w:rPr>
            </w:pPr>
            <w:r w:rsidRPr="000E6009">
              <w:rPr>
                <w:rFonts w:ascii="Times New Roman" w:eastAsia="Times New Roman" w:hAnsi="Times New Roman"/>
                <w:sz w:val="24"/>
                <w:szCs w:val="24"/>
                <w:lang w:eastAsia="ru-RU"/>
              </w:rPr>
              <w:t>Все налоги, пошлины и прочие сборы, которые должны оплачиваться в соответствии с условиями договора или на иных основаниях, должны быть включены в расценки и общую цену заявки, представленную Участником размещения заказа.</w:t>
            </w:r>
          </w:p>
          <w:p w:rsidR="005A2599" w:rsidRPr="000E6009" w:rsidRDefault="002064B6" w:rsidP="001D1DF7">
            <w:pPr>
              <w:tabs>
                <w:tab w:val="left" w:pos="709"/>
              </w:tabs>
              <w:suppressAutoHyphens/>
              <w:spacing w:after="0"/>
              <w:jc w:val="both"/>
              <w:rPr>
                <w:rFonts w:ascii="Times New Roman" w:hAnsi="Times New Roman"/>
                <w:i/>
                <w:sz w:val="24"/>
                <w:szCs w:val="24"/>
              </w:rPr>
            </w:pPr>
            <w:r w:rsidRPr="000E6009">
              <w:rPr>
                <w:rFonts w:ascii="Times New Roman" w:hAnsi="Times New Roman"/>
                <w:i/>
                <w:sz w:val="24"/>
                <w:szCs w:val="24"/>
              </w:rPr>
              <w:t>Участник процедуры закупки должен предложить одинаковый размер (процент) снижения в отношении всех стоимостных величин единиц продукции.</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0E6009">
              <w:rPr>
                <w:rFonts w:ascii="Times New Roman" w:hAnsi="Times New Roman"/>
                <w:bCs/>
                <w:sz w:val="24"/>
                <w:szCs w:val="24"/>
              </w:rPr>
              <w:t xml:space="preserve">04» марта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w:t>
            </w:r>
            <w:r w:rsidRPr="00A505AA">
              <w:rPr>
                <w:rFonts w:ascii="Times New Roman" w:hAnsi="Times New Roman"/>
                <w:bCs/>
                <w:spacing w:val="-6"/>
                <w:sz w:val="24"/>
                <w:szCs w:val="24"/>
              </w:rPr>
              <w:lastRenderedPageBreak/>
              <w:t>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lastRenderedPageBreak/>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F8069E">
            <w:pPr>
              <w:pStyle w:val="afffff6"/>
              <w:rPr>
                <w:rFonts w:ascii="Times New Roman" w:hAnsi="Times New Roman"/>
                <w:bCs/>
                <w:sz w:val="24"/>
                <w:szCs w:val="24"/>
              </w:rPr>
            </w:pPr>
            <w:r w:rsidRPr="00A505AA">
              <w:rPr>
                <w:rFonts w:ascii="Times New Roman" w:hAnsi="Times New Roman"/>
                <w:bCs/>
                <w:spacing w:val="-6"/>
                <w:sz w:val="24"/>
                <w:szCs w:val="24"/>
              </w:rPr>
              <w:t>«</w:t>
            </w:r>
            <w:r w:rsidR="000E6009">
              <w:rPr>
                <w:rFonts w:ascii="Times New Roman" w:hAnsi="Times New Roman"/>
                <w:bCs/>
                <w:spacing w:val="-6"/>
                <w:sz w:val="24"/>
                <w:szCs w:val="24"/>
              </w:rPr>
              <w:t xml:space="preserve">04» марта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0E6009">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F8069E">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F8069E">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0E6009">
            <w:pPr>
              <w:pStyle w:val="afffff6"/>
              <w:rPr>
                <w:rFonts w:ascii="Times New Roman" w:hAnsi="Times New Roman"/>
                <w:bCs/>
                <w:sz w:val="24"/>
                <w:szCs w:val="24"/>
              </w:rPr>
            </w:pPr>
            <w:r w:rsidRPr="00A505AA">
              <w:rPr>
                <w:rFonts w:ascii="Times New Roman" w:hAnsi="Times New Roman"/>
                <w:bCs/>
                <w:spacing w:val="-6"/>
                <w:sz w:val="24"/>
                <w:szCs w:val="24"/>
              </w:rPr>
              <w:t>«</w:t>
            </w:r>
            <w:r w:rsidR="000E6009">
              <w:rPr>
                <w:rFonts w:ascii="Times New Roman" w:hAnsi="Times New Roman"/>
                <w:bCs/>
                <w:spacing w:val="-6"/>
                <w:sz w:val="24"/>
                <w:szCs w:val="24"/>
              </w:rPr>
              <w:t>04</w:t>
            </w:r>
            <w:r w:rsidRPr="00A505AA">
              <w:rPr>
                <w:rFonts w:ascii="Times New Roman" w:hAnsi="Times New Roman"/>
                <w:bCs/>
                <w:spacing w:val="-6"/>
                <w:sz w:val="24"/>
                <w:szCs w:val="24"/>
              </w:rPr>
              <w:t xml:space="preserve">» </w:t>
            </w:r>
            <w:r w:rsidR="000E6009">
              <w:rPr>
                <w:rFonts w:ascii="Times New Roman" w:hAnsi="Times New Roman"/>
                <w:bCs/>
                <w:spacing w:val="-6"/>
                <w:sz w:val="24"/>
                <w:szCs w:val="24"/>
              </w:rPr>
              <w:t xml:space="preserve">марта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F8069E">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F8069E">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E6009" w:rsidRDefault="00CF6066" w:rsidP="00CF6066">
            <w:pPr>
              <w:pStyle w:val="afffff6"/>
              <w:spacing w:before="0"/>
              <w:jc w:val="left"/>
              <w:rPr>
                <w:rFonts w:ascii="Times New Roman" w:hAnsi="Times New Roman"/>
                <w:bCs/>
                <w:sz w:val="24"/>
                <w:szCs w:val="24"/>
              </w:rPr>
            </w:pPr>
            <w:r w:rsidRPr="000E6009">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0E6009" w:rsidRDefault="00202718" w:rsidP="00F8069E">
            <w:pPr>
              <w:autoSpaceDE w:val="0"/>
              <w:autoSpaceDN w:val="0"/>
              <w:adjustRightInd w:val="0"/>
              <w:spacing w:after="0" w:line="240" w:lineRule="auto"/>
              <w:jc w:val="both"/>
              <w:rPr>
                <w:rFonts w:ascii="Times New Roman" w:eastAsia="Times New Roman" w:hAnsi="Times New Roman"/>
                <w:iCs/>
                <w:sz w:val="24"/>
                <w:szCs w:val="24"/>
                <w:lang w:eastAsia="ru-RU"/>
              </w:rPr>
            </w:pPr>
            <w:r w:rsidRPr="000E6009">
              <w:rPr>
                <w:rFonts w:ascii="Times New Roman" w:eastAsia="Times New Roman" w:hAnsi="Times New Roman"/>
                <w:iCs/>
                <w:sz w:val="24"/>
                <w:szCs w:val="24"/>
                <w:lang w:eastAsia="ru-RU"/>
              </w:rPr>
              <w:t>Объем является приблизительным и будет складываться из объема фактически выполненных работ в соответствии с площадью кровли, парапетов и карнизов (Приложение №1 к проекту договора).</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3C77FB" w:rsidRDefault="003C77FB" w:rsidP="006A0D8A">
            <w:pPr>
              <w:spacing w:after="0" w:line="240" w:lineRule="auto"/>
              <w:ind w:left="354" w:hanging="354"/>
              <w:jc w:val="both"/>
              <w:rPr>
                <w:rFonts w:ascii="Times New Roman" w:eastAsia="Calibri" w:hAnsi="Times New Roman"/>
                <w:sz w:val="22"/>
                <w:szCs w:val="22"/>
              </w:rPr>
            </w:pPr>
            <w:r>
              <w:rPr>
                <w:rFonts w:ascii="Times New Roman" w:eastAsia="Calibri" w:hAnsi="Times New Roman"/>
                <w:sz w:val="22"/>
                <w:szCs w:val="22"/>
              </w:rPr>
              <w:t>620075, г. Екатеринбург, ул. Мамина-Сибиряка, д. 145</w:t>
            </w:r>
          </w:p>
          <w:p w:rsidR="00CF6066" w:rsidRPr="00A82FD4" w:rsidRDefault="00CF6066" w:rsidP="006A0D8A">
            <w:pPr>
              <w:spacing w:after="0" w:line="240" w:lineRule="auto"/>
              <w:ind w:left="354" w:hanging="354"/>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202718" w:rsidRPr="00A505AA" w:rsidTr="00805FA2">
        <w:trPr>
          <w:trHeight w:val="275"/>
        </w:trPr>
        <w:tc>
          <w:tcPr>
            <w:tcW w:w="567" w:type="dxa"/>
            <w:vMerge/>
            <w:shd w:val="clear" w:color="auto" w:fill="auto"/>
            <w:vAlign w:val="center"/>
          </w:tcPr>
          <w:p w:rsidR="00202718" w:rsidRPr="00A505AA" w:rsidRDefault="00202718" w:rsidP="00202718">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202718" w:rsidRPr="00A505AA" w:rsidRDefault="00202718" w:rsidP="00202718">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202718" w:rsidRPr="008E29AD" w:rsidRDefault="00202718" w:rsidP="00202718">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разделом 3</w:t>
            </w:r>
            <w:r w:rsidRPr="008E29AD">
              <w:rPr>
                <w:rFonts w:ascii="Times New Roman" w:eastAsia="Times New Roman" w:hAnsi="Times New Roman"/>
                <w:bCs/>
                <w:sz w:val="24"/>
                <w:szCs w:val="24"/>
                <w:lang w:eastAsia="ru-RU"/>
              </w:rPr>
              <w:t xml:space="preserve"> проекта договора</w:t>
            </w:r>
          </w:p>
          <w:p w:rsidR="00202718" w:rsidRPr="008E29AD" w:rsidRDefault="00202718" w:rsidP="00202718">
            <w:pPr>
              <w:suppressAutoHyphens/>
              <w:spacing w:before="120" w:after="0" w:line="240" w:lineRule="auto"/>
              <w:jc w:val="both"/>
              <w:rPr>
                <w:rFonts w:ascii="Times New Roman" w:eastAsia="Times New Roman" w:hAnsi="Times New Roman"/>
                <w:sz w:val="24"/>
                <w:szCs w:val="24"/>
                <w:lang w:eastAsia="ru-RU"/>
              </w:rPr>
            </w:pP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 xml:space="preserve">потребительских свойств, его количественных и качественных характеристик, требования к описанию </w:t>
            </w:r>
            <w:r w:rsidRPr="000D5557">
              <w:rPr>
                <w:rFonts w:ascii="Times New Roman" w:hAnsi="Times New Roman"/>
                <w:bCs/>
                <w:sz w:val="24"/>
                <w:szCs w:val="24"/>
              </w:rPr>
              <w:lastRenderedPageBreak/>
              <w:t>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lastRenderedPageBreak/>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lastRenderedPageBreak/>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lastRenderedPageBreak/>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lastRenderedPageBreak/>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w:t>
            </w:r>
            <w:r w:rsidRPr="00A505AA">
              <w:rPr>
                <w:rFonts w:ascii="Times New Roman" w:hAnsi="Times New Roman"/>
                <w:spacing w:val="-6"/>
                <w:sz w:val="24"/>
                <w:szCs w:val="24"/>
              </w:rPr>
              <w:lastRenderedPageBreak/>
              <w:t>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lastRenderedPageBreak/>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3"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4"/>
          <w:footerReference w:type="first" r:id="rId15"/>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E8747E" w:rsidRDefault="00E8747E" w:rsidP="00E2420A">
            <w:pPr>
              <w:pStyle w:val="53"/>
              <w:rPr>
                <w:rFonts w:ascii="Times New Roman" w:eastAsia="MS Gothic" w:hAnsi="Times New Roman"/>
                <w:sz w:val="24"/>
                <w:szCs w:val="24"/>
                <w:lang w:eastAsia="en-US"/>
              </w:rPr>
            </w:pPr>
            <w:r w:rsidRPr="009636D4">
              <w:rPr>
                <w:rFonts w:ascii="Times New Roman" w:hAnsi="Times New Roman"/>
                <w:b/>
                <w:sz w:val="24"/>
                <w:szCs w:val="24"/>
              </w:rPr>
              <w:t xml:space="preserve">Цена </w:t>
            </w:r>
            <w:r w:rsidRPr="009636D4">
              <w:rPr>
                <w:rFonts w:ascii="Times New Roman" w:hAnsi="Times New Roman"/>
                <w:sz w:val="24"/>
                <w:szCs w:val="24"/>
              </w:rPr>
              <w:t>за единицу продукции</w:t>
            </w:r>
            <w:r>
              <w:rPr>
                <w:rFonts w:ascii="Times New Roman" w:hAnsi="Times New Roman"/>
                <w:sz w:val="24"/>
                <w:szCs w:val="24"/>
              </w:rPr>
              <w:t xml:space="preserve"> </w:t>
            </w:r>
            <w:r w:rsidRPr="00052B6F">
              <w:rPr>
                <w:rFonts w:ascii="Times New Roman" w:hAnsi="Times New Roman"/>
                <w:sz w:val="24"/>
                <w:szCs w:val="24"/>
              </w:rPr>
              <w:t>(</w:t>
            </w:r>
            <w:r w:rsidRPr="00052B6F">
              <w:rPr>
                <w:rFonts w:ascii="Times New Roman" w:hAnsi="Times New Roman"/>
                <w:b/>
                <w:i/>
                <w:sz w:val="24"/>
                <w:szCs w:val="24"/>
              </w:rPr>
              <w:t>размер (процент) снижения в отношении всех стоимостных величин единиц продукции)</w:t>
            </w:r>
            <w:r w:rsidRPr="00052B6F">
              <w:rPr>
                <w:rFonts w:ascii="Times New Roman" w:hAnsi="Times New Roman"/>
                <w:b/>
                <w:sz w:val="24"/>
                <w:szCs w:val="24"/>
              </w:rPr>
              <w:t>:</w:t>
            </w:r>
            <w:r w:rsidRPr="00E8747E">
              <w:rPr>
                <w:rFonts w:ascii="Times New Roman" w:hAnsi="Times New Roman"/>
                <w:b/>
                <w:sz w:val="24"/>
                <w:szCs w:val="24"/>
              </w:rPr>
              <w:t xml:space="preserve"> </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E8747E" w:rsidRDefault="00E8747E" w:rsidP="00293E3A">
            <w:pPr>
              <w:pStyle w:val="53"/>
              <w:rPr>
                <w:rFonts w:ascii="Times New Roman" w:hAnsi="Times New Roman"/>
                <w:sz w:val="24"/>
                <w:szCs w:val="24"/>
              </w:rPr>
            </w:pPr>
            <w:r w:rsidRPr="00D826E1">
              <w:rPr>
                <w:rFonts w:ascii="Times New Roman" w:hAnsi="Times New Roman"/>
                <w:sz w:val="24"/>
                <w:szCs w:val="24"/>
              </w:rPr>
              <w:t xml:space="preserve">Под содержанием указанного критерия понимается цена </w:t>
            </w:r>
            <w:r>
              <w:rPr>
                <w:rFonts w:ascii="Times New Roman" w:hAnsi="Times New Roman"/>
                <w:sz w:val="24"/>
                <w:szCs w:val="24"/>
              </w:rPr>
              <w:t xml:space="preserve">за </w:t>
            </w:r>
            <w:r w:rsidRPr="009F1B44">
              <w:rPr>
                <w:rFonts w:ascii="Times New Roman" w:hAnsi="Times New Roman"/>
                <w:sz w:val="24"/>
                <w:szCs w:val="24"/>
              </w:rPr>
              <w:t>единицу продукции</w:t>
            </w:r>
            <w:r w:rsidR="008072C2">
              <w:rPr>
                <w:rFonts w:ascii="Times New Roman" w:hAnsi="Times New Roman"/>
                <w:sz w:val="24"/>
                <w:szCs w:val="24"/>
              </w:rPr>
              <w:t xml:space="preserve"> </w:t>
            </w:r>
            <w:r w:rsidR="008072C2" w:rsidRPr="000E6009">
              <w:rPr>
                <w:rFonts w:ascii="Times New Roman" w:hAnsi="Times New Roman"/>
                <w:sz w:val="24"/>
                <w:szCs w:val="24"/>
              </w:rPr>
              <w:t>(одинаковый размер (процент) снижения в отношении всех стоимостных величин единицы продукции)</w:t>
            </w:r>
            <w:r w:rsidRPr="00D826E1">
              <w:rPr>
                <w:rFonts w:ascii="Times New Roman" w:hAnsi="Times New Roman"/>
                <w:sz w:val="24"/>
                <w:szCs w:val="24"/>
              </w:rPr>
              <w:t xml:space="preserve">, предлагаемая участником процедуры закупки в заявке, в соответствии с требованиями к структуре цены, изложенными в пункте </w:t>
            </w:r>
            <w:r w:rsidRPr="00E8747E">
              <w:rPr>
                <w:rFonts w:ascii="Times New Roman" w:hAnsi="Times New Roman"/>
                <w:sz w:val="24"/>
                <w:szCs w:val="24"/>
              </w:rPr>
              <w:t>7</w:t>
            </w:r>
            <w:r w:rsidRPr="00D826E1">
              <w:rPr>
                <w:rFonts w:ascii="Times New Roman" w:hAnsi="Times New Roman"/>
                <w:sz w:val="24"/>
                <w:szCs w:val="24"/>
              </w:rPr>
              <w:t xml:space="preserve">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F429CB" w:rsidRPr="009F1B44" w:rsidRDefault="00F429CB" w:rsidP="00F429CB">
            <w:pPr>
              <w:overflowPunct w:val="0"/>
              <w:autoSpaceDE w:val="0"/>
              <w:autoSpaceDN w:val="0"/>
              <w:adjustRightInd w:val="0"/>
              <w:spacing w:after="0"/>
              <w:ind w:right="34"/>
              <w:jc w:val="both"/>
              <w:textAlignment w:val="baseline"/>
              <w:rPr>
                <w:rFonts w:ascii="Times New Roman" w:hAnsi="Times New Roman"/>
                <w:i/>
                <w:iCs/>
                <w:sz w:val="24"/>
                <w:szCs w:val="24"/>
              </w:rPr>
            </w:pPr>
            <w:r w:rsidRPr="00387487">
              <w:rPr>
                <w:rFonts w:ascii="Times New Roman" w:hAnsi="Times New Roman"/>
                <w:sz w:val="24"/>
                <w:szCs w:val="24"/>
              </w:rPr>
              <w:t>Формулы расчета для указанного критерия не применяются</w:t>
            </w:r>
            <w:r w:rsidRPr="009F1B44">
              <w:rPr>
                <w:rFonts w:ascii="Times New Roman" w:hAnsi="Times New Roman"/>
                <w:sz w:val="24"/>
                <w:szCs w:val="24"/>
              </w:rPr>
              <w:t>. Оценка и сопоставление заявок осуществляется простым сопоставлением числовых значений,</w:t>
            </w:r>
            <w:r w:rsidRPr="009F1B44">
              <w:rPr>
                <w:rFonts w:ascii="Times New Roman" w:eastAsia="Times New Roman" w:hAnsi="Times New Roman"/>
                <w:sz w:val="24"/>
                <w:szCs w:val="24"/>
              </w:rPr>
              <w:t xml:space="preserve"> </w:t>
            </w:r>
            <w:r w:rsidRPr="009F1B44">
              <w:rPr>
                <w:rFonts w:ascii="Times New Roman" w:hAnsi="Times New Roman"/>
                <w:sz w:val="24"/>
                <w:szCs w:val="24"/>
              </w:rPr>
              <w:t xml:space="preserve">размера (процента) снижения по математическим правилам в порядке уменьшения размера (процента) снижения, предложенной ими в заявке, начиная с наибольшего. Победителем закупки признается участник закупки, который предложил </w:t>
            </w:r>
            <w:r>
              <w:rPr>
                <w:rFonts w:ascii="Times New Roman" w:eastAsia="Times New Roman" w:hAnsi="Times New Roman"/>
                <w:sz w:val="24"/>
                <w:szCs w:val="24"/>
              </w:rPr>
              <w:t>наибольший</w:t>
            </w:r>
            <w:r w:rsidRPr="009F1B44">
              <w:rPr>
                <w:rFonts w:ascii="Times New Roman" w:eastAsia="Times New Roman" w:hAnsi="Times New Roman"/>
                <w:sz w:val="24"/>
                <w:szCs w:val="24"/>
              </w:rPr>
              <w:t xml:space="preserve"> размер (процент) снижения. Размер снижения указывается в процентах.</w:t>
            </w:r>
          </w:p>
          <w:p w:rsidR="00F429CB" w:rsidRDefault="00F429CB" w:rsidP="00293E3A">
            <w:pPr>
              <w:pStyle w:val="afffff6"/>
              <w:rPr>
                <w:rFonts w:ascii="Times New Roman" w:hAnsi="Times New Roman"/>
                <w:sz w:val="24"/>
                <w:szCs w:val="24"/>
              </w:rPr>
            </w:pPr>
            <w:r w:rsidRPr="009F1B44">
              <w:rPr>
                <w:rFonts w:ascii="Times New Roman" w:hAnsi="Times New Roman"/>
                <w:i/>
                <w:iCs/>
                <w:sz w:val="24"/>
                <w:szCs w:val="24"/>
              </w:rPr>
              <w:t>Для оценки участников по критерию</w:t>
            </w:r>
            <w:r w:rsidRPr="009F1B44">
              <w:rPr>
                <w:rFonts w:ascii="Times New Roman" w:hAnsi="Times New Roman"/>
                <w:i/>
                <w:sz w:val="24"/>
                <w:szCs w:val="24"/>
              </w:rPr>
              <w:t xml:space="preserve"> «цена за единицу продукции»</w:t>
            </w:r>
            <w:r w:rsidRPr="009F1B44">
              <w:rPr>
                <w:rFonts w:ascii="Times New Roman" w:hAnsi="Times New Roman"/>
                <w:i/>
                <w:iCs/>
                <w:sz w:val="24"/>
                <w:szCs w:val="24"/>
              </w:rPr>
              <w:t xml:space="preserve"> Участник процедуры закупки указывает в заявке </w:t>
            </w:r>
            <w:r w:rsidRPr="009F1B44">
              <w:rPr>
                <w:rFonts w:ascii="Times New Roman" w:hAnsi="Times New Roman"/>
                <w:i/>
                <w:iCs/>
                <w:sz w:val="24"/>
                <w:szCs w:val="24"/>
                <w:u w:val="single"/>
              </w:rPr>
              <w:t>одинаковый размер (процент) снижения</w:t>
            </w:r>
            <w:r w:rsidRPr="009F1B44">
              <w:rPr>
                <w:rFonts w:ascii="Times New Roman" w:hAnsi="Times New Roman"/>
                <w:i/>
                <w:iCs/>
                <w:sz w:val="24"/>
                <w:szCs w:val="24"/>
              </w:rPr>
              <w:t xml:space="preserve"> в отношении всех стоимостных величин единиц продукции.</w:t>
            </w:r>
          </w:p>
          <w:p w:rsidR="00293E3A" w:rsidRPr="009636D4" w:rsidRDefault="00293E3A" w:rsidP="00F429CB">
            <w:pPr>
              <w:pStyle w:val="afffff6"/>
              <w:rPr>
                <w:rFonts w:ascii="Times New Roman" w:hAnsi="Times New Roman"/>
                <w:sz w:val="24"/>
                <w:szCs w:val="24"/>
              </w:rPr>
            </w:pPr>
            <w:r>
              <w:rPr>
                <w:rFonts w:ascii="Times New Roman" w:hAnsi="Times New Roman"/>
                <w:sz w:val="24"/>
                <w:szCs w:val="24"/>
              </w:rPr>
              <w:t xml:space="preserve">В случае если несколько участников </w:t>
            </w:r>
            <w:r w:rsidR="00F429CB">
              <w:rPr>
                <w:rFonts w:ascii="Times New Roman" w:hAnsi="Times New Roman"/>
                <w:sz w:val="24"/>
                <w:szCs w:val="24"/>
              </w:rPr>
              <w:t>представили заявки с одинаковым процентом снижения</w:t>
            </w:r>
            <w:r>
              <w:rPr>
                <w:rFonts w:ascii="Times New Roman" w:hAnsi="Times New Roman"/>
                <w:sz w:val="24"/>
                <w:szCs w:val="24"/>
              </w:rPr>
              <w:t>, победителем закупки признается участник, заявка которого поступила раньше.</w:t>
            </w:r>
          </w:p>
        </w:tc>
      </w:tr>
    </w:tbl>
    <w:p w:rsidR="00F429CB" w:rsidRPr="00F429CB" w:rsidRDefault="00F429CB" w:rsidP="00F429CB">
      <w:pPr>
        <w:pStyle w:val="53"/>
        <w:numPr>
          <w:ilvl w:val="3"/>
          <w:numId w:val="36"/>
        </w:numPr>
        <w:ind w:left="0" w:firstLine="142"/>
        <w:outlineLvl w:val="9"/>
        <w:rPr>
          <w:rFonts w:ascii="Times New Roman" w:hAnsi="Times New Roman"/>
          <w:b/>
          <w:sz w:val="24"/>
          <w:szCs w:val="24"/>
        </w:rPr>
      </w:pPr>
      <w:r w:rsidRPr="00D51245">
        <w:rPr>
          <w:rFonts w:ascii="Times New Roman" w:hAnsi="Times New Roman"/>
          <w:color w:val="000000"/>
          <w:sz w:val="24"/>
          <w:szCs w:val="24"/>
        </w:rPr>
        <w:t>Закупочная комиссия</w:t>
      </w:r>
      <w:r w:rsidRPr="00D51245">
        <w:rPr>
          <w:rFonts w:ascii="Times New Roman" w:hAnsi="Times New Roman"/>
          <w:sz w:val="24"/>
          <w:szCs w:val="24"/>
        </w:rPr>
        <w:t xml:space="preserve"> </w:t>
      </w:r>
      <w:r w:rsidRPr="00F429CB">
        <w:rPr>
          <w:rFonts w:ascii="Times New Roman" w:hAnsi="Times New Roman"/>
          <w:i/>
          <w:sz w:val="24"/>
          <w:szCs w:val="24"/>
        </w:rPr>
        <w:t>отклоняет заявки,</w:t>
      </w:r>
      <w:r w:rsidRPr="00D51245">
        <w:rPr>
          <w:rFonts w:ascii="Times New Roman" w:hAnsi="Times New Roman"/>
          <w:sz w:val="24"/>
          <w:szCs w:val="24"/>
        </w:rPr>
        <w:t xml:space="preserve"> если они не соответствуют требованиям, установленным в извещении о закупке, </w:t>
      </w:r>
      <w:r w:rsidRPr="00F429CB">
        <w:rPr>
          <w:rFonts w:ascii="Times New Roman" w:hAnsi="Times New Roman"/>
          <w:sz w:val="24"/>
          <w:szCs w:val="24"/>
        </w:rPr>
        <w:t>предложенная в заявках цена за единицу продукции</w:t>
      </w:r>
      <w:r w:rsidR="000E6009">
        <w:rPr>
          <w:rFonts w:ascii="Times New Roman" w:hAnsi="Times New Roman"/>
          <w:sz w:val="24"/>
          <w:szCs w:val="24"/>
        </w:rPr>
        <w:t xml:space="preserve"> превышает максимальную цену за </w:t>
      </w:r>
      <w:r w:rsidRPr="00F429CB">
        <w:rPr>
          <w:rFonts w:ascii="Times New Roman" w:hAnsi="Times New Roman"/>
          <w:sz w:val="24"/>
          <w:szCs w:val="24"/>
        </w:rPr>
        <w:t>единицу указанную в извещении о закупке, или предложен не одинаковый размер (процент) снижения в отношении всех стоимостных величин единиц продукции.</w:t>
      </w:r>
    </w:p>
    <w:p w:rsidR="00154033" w:rsidRPr="00D1433F" w:rsidRDefault="00154033" w:rsidP="00F429CB">
      <w:pPr>
        <w:suppressAutoHyphens/>
        <w:spacing w:before="120" w:after="0" w:line="240" w:lineRule="auto"/>
        <w:jc w:val="both"/>
        <w:outlineLvl w:val="3"/>
        <w:rPr>
          <w:rFonts w:ascii="Times New Roman" w:hAnsi="Times New Roman"/>
          <w:color w:val="000000"/>
          <w:sz w:val="24"/>
          <w:szCs w:val="24"/>
        </w:rPr>
      </w:pP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F429CB" w:rsidRPr="00F429CB" w:rsidRDefault="00AB5ABE" w:rsidP="00F429CB">
      <w:pPr>
        <w:spacing w:after="0" w:line="240" w:lineRule="auto"/>
        <w:jc w:val="both"/>
        <w:rPr>
          <w:rFonts w:ascii="Times New Roman" w:hAnsi="Times New Roman"/>
          <w:color w:val="FF0000"/>
          <w:sz w:val="24"/>
          <w:szCs w:val="24"/>
          <w:shd w:val="clear" w:color="auto" w:fill="FFFFFF"/>
        </w:rPr>
      </w:pPr>
      <w:r w:rsidRPr="00103D04">
        <w:rPr>
          <w:rFonts w:ascii="Times New Roman" w:eastAsia="Calibri" w:hAnsi="Times New Roman"/>
          <w:sz w:val="24"/>
          <w:szCs w:val="24"/>
          <w:shd w:val="clear" w:color="auto" w:fill="FFFFFF"/>
        </w:rPr>
        <w:t>2. </w:t>
      </w:r>
      <w:r w:rsidR="00F429CB" w:rsidRPr="00F429CB">
        <w:rPr>
          <w:rFonts w:ascii="Times New Roman" w:hAnsi="Times New Roman"/>
          <w:iCs/>
          <w:sz w:val="24"/>
          <w:szCs w:val="24"/>
        </w:rPr>
        <w:t>Размер (процент) снижения в отношении всех стоимостных величин единиц продукции, указанных в Форме 2 составляет - __________%</w:t>
      </w:r>
    </w:p>
    <w:p w:rsidR="00255679" w:rsidRPr="00F429CB" w:rsidRDefault="00255679" w:rsidP="00293E3A">
      <w:pPr>
        <w:spacing w:after="0" w:line="240" w:lineRule="auto"/>
        <w:jc w:val="both"/>
        <w:rPr>
          <w:rFonts w:ascii="Times New Roman" w:hAnsi="Times New Roman"/>
          <w:sz w:val="24"/>
          <w:szCs w:val="24"/>
          <w:shd w:val="clear" w:color="auto" w:fill="FFFFFF"/>
        </w:rPr>
      </w:pPr>
      <w:r w:rsidRPr="00F429CB">
        <w:rPr>
          <w:rFonts w:ascii="Times New Roman" w:hAnsi="Times New Roman"/>
          <w:iCs/>
          <w:snapToGrid w:val="0"/>
          <w:sz w:val="24"/>
          <w:szCs w:val="24"/>
        </w:rPr>
        <w:t>3. </w:t>
      </w:r>
      <w:r w:rsidRPr="00F429CB">
        <w:rPr>
          <w:rFonts w:ascii="Times New Roman" w:hAnsi="Times New Roman"/>
          <w:sz w:val="24"/>
          <w:szCs w:val="24"/>
          <w:shd w:val="clear" w:color="auto" w:fill="FFFFFF"/>
        </w:rPr>
        <w:t>Настоящей заявкой декларируем о соответствии участника запроса котировок _____________________________________________________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F429CB">
        <w:rPr>
          <w:rFonts w:ascii="Times New Roman" w:hAnsi="Times New Roman"/>
          <w:i/>
          <w:sz w:val="24"/>
          <w:szCs w:val="24"/>
          <w:shd w:val="clear" w:color="auto" w:fill="FFFFFF"/>
        </w:rPr>
        <w:t>(наименование участника процедуры закупки)</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6"/>
          <w:footerReference w:type="default" r:id="rId17"/>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F429CB">
      <w:pPr>
        <w:pStyle w:val="2f6"/>
        <w:spacing w:before="0"/>
        <w:ind w:left="993"/>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F429CB">
      <w:pPr>
        <w:autoSpaceDE w:val="0"/>
        <w:autoSpaceDN w:val="0"/>
        <w:adjustRightInd w:val="0"/>
        <w:spacing w:after="0" w:line="240" w:lineRule="auto"/>
        <w:ind w:left="993"/>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F429CB">
      <w:pPr>
        <w:autoSpaceDE w:val="0"/>
        <w:autoSpaceDN w:val="0"/>
        <w:adjustRightInd w:val="0"/>
        <w:spacing w:after="0" w:line="240" w:lineRule="auto"/>
        <w:ind w:left="993"/>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F429CB">
      <w:pPr>
        <w:autoSpaceDE w:val="0"/>
        <w:autoSpaceDN w:val="0"/>
        <w:adjustRightInd w:val="0"/>
        <w:spacing w:after="0" w:line="240" w:lineRule="auto"/>
        <w:ind w:left="993"/>
        <w:jc w:val="both"/>
        <w:rPr>
          <w:rFonts w:ascii="Times New Roman" w:hAnsi="Times New Roman"/>
          <w:sz w:val="18"/>
          <w:szCs w:val="18"/>
        </w:rPr>
      </w:pPr>
    </w:p>
    <w:p w:rsidR="00624A9C" w:rsidRPr="004802A8" w:rsidRDefault="00624A9C" w:rsidP="00F429CB">
      <w:pPr>
        <w:autoSpaceDE w:val="0"/>
        <w:autoSpaceDN w:val="0"/>
        <w:adjustRightInd w:val="0"/>
        <w:spacing w:after="0" w:line="240" w:lineRule="auto"/>
        <w:ind w:left="993"/>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F429CB">
      <w:pPr>
        <w:widowControl w:val="0"/>
        <w:spacing w:after="0" w:line="240" w:lineRule="auto"/>
        <w:ind w:left="993"/>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Default="00624A9C" w:rsidP="00F429CB">
      <w:pPr>
        <w:widowControl w:val="0"/>
        <w:spacing w:after="0" w:line="240" w:lineRule="auto"/>
        <w:ind w:left="993"/>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sidR="00AB2C2C">
        <w:rPr>
          <w:rFonts w:ascii="Times New Roman" w:hAnsi="Times New Roman"/>
          <w:sz w:val="24"/>
          <w:szCs w:val="24"/>
        </w:rPr>
        <w:t>выполнить работы</w:t>
      </w:r>
      <w:r>
        <w:rPr>
          <w:rFonts w:ascii="Times New Roman" w:hAnsi="Times New Roman"/>
          <w:sz w:val="24"/>
          <w:szCs w:val="24"/>
        </w:rPr>
        <w:t>,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w:t>
      </w:r>
      <w:r w:rsidR="00AB2C2C">
        <w:rPr>
          <w:rFonts w:ascii="Times New Roman" w:hAnsi="Times New Roman"/>
          <w:iCs/>
          <w:snapToGrid w:val="0"/>
          <w:sz w:val="24"/>
          <w:szCs w:val="24"/>
        </w:rPr>
        <w:t>выполнить работы</w:t>
      </w:r>
      <w:r w:rsidRPr="004422DA">
        <w:rPr>
          <w:rFonts w:ascii="Times New Roman" w:hAnsi="Times New Roman"/>
          <w:iCs/>
          <w:snapToGrid w:val="0"/>
          <w:sz w:val="24"/>
          <w:szCs w:val="24"/>
        </w:rPr>
        <w:t xml:space="preserve">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F429CB">
      <w:pPr>
        <w:autoSpaceDE w:val="0"/>
        <w:autoSpaceDN w:val="0"/>
        <w:adjustRightInd w:val="0"/>
        <w:spacing w:after="0" w:line="240" w:lineRule="auto"/>
        <w:ind w:left="993"/>
        <w:jc w:val="both"/>
        <w:rPr>
          <w:rFonts w:ascii="Times New Roman" w:hAnsi="Times New Roman"/>
          <w:sz w:val="24"/>
          <w:szCs w:val="24"/>
        </w:rPr>
      </w:pPr>
      <w:r>
        <w:rPr>
          <w:rFonts w:ascii="Times New Roman" w:hAnsi="Times New Roman"/>
          <w:sz w:val="24"/>
          <w:szCs w:val="24"/>
        </w:rPr>
        <w:t xml:space="preserve">В соответствии с пунктом </w:t>
      </w:r>
      <w:r w:rsidRPr="00065A47">
        <w:rPr>
          <w:rFonts w:ascii="Times New Roman" w:hAnsi="Times New Roman"/>
          <w:sz w:val="24"/>
          <w:szCs w:val="24"/>
        </w:rPr>
        <w:t>14 информационной карты извещения о проведении закупки предлагаем к поставке следующую продукцию</w:t>
      </w:r>
      <w:r>
        <w:rPr>
          <w:rFonts w:ascii="Times New Roman" w:hAnsi="Times New Roman"/>
          <w:sz w:val="24"/>
          <w:szCs w:val="24"/>
        </w:rPr>
        <w:t>:</w:t>
      </w:r>
    </w:p>
    <w:p w:rsidR="00302DD5" w:rsidRDefault="00302DD5" w:rsidP="00F429CB">
      <w:pPr>
        <w:autoSpaceDE w:val="0"/>
        <w:autoSpaceDN w:val="0"/>
        <w:adjustRightInd w:val="0"/>
        <w:spacing w:after="0" w:line="240" w:lineRule="auto"/>
        <w:ind w:left="993"/>
        <w:jc w:val="both"/>
        <w:rPr>
          <w:rFonts w:ascii="Times New Roman" w:hAnsi="Times New Roman"/>
          <w:sz w:val="20"/>
          <w:szCs w:val="20"/>
        </w:rPr>
      </w:pPr>
    </w:p>
    <w:p w:rsidR="00817886" w:rsidRDefault="00624A9C" w:rsidP="00817886">
      <w:pPr>
        <w:autoSpaceDE w:val="0"/>
        <w:autoSpaceDN w:val="0"/>
        <w:adjustRightInd w:val="0"/>
        <w:spacing w:after="0" w:line="240" w:lineRule="auto"/>
        <w:ind w:left="993"/>
        <w:jc w:val="both"/>
        <w:rPr>
          <w:rFonts w:ascii="Times New Roman" w:hAnsi="Times New Roman"/>
          <w:sz w:val="20"/>
          <w:szCs w:val="20"/>
        </w:rPr>
      </w:pPr>
      <w:r>
        <w:rPr>
          <w:rFonts w:ascii="Times New Roman" w:hAnsi="Times New Roman"/>
          <w:sz w:val="20"/>
          <w:szCs w:val="20"/>
        </w:rPr>
        <w:t>Таблица 1</w:t>
      </w:r>
    </w:p>
    <w:tbl>
      <w:tblPr>
        <w:tblpPr w:leftFromText="180" w:rightFromText="180" w:vertAnchor="text" w:horzAnchor="margin" w:tblpX="985" w:tblpY="214"/>
        <w:tblW w:w="97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40" w:type="dxa"/>
          <w:right w:w="40" w:type="dxa"/>
        </w:tblCellMar>
        <w:tblLook w:val="0000" w:firstRow="0" w:lastRow="0" w:firstColumn="0" w:lastColumn="0" w:noHBand="0" w:noVBand="0"/>
      </w:tblPr>
      <w:tblGrid>
        <w:gridCol w:w="559"/>
        <w:gridCol w:w="5103"/>
        <w:gridCol w:w="993"/>
        <w:gridCol w:w="1017"/>
        <w:gridCol w:w="2101"/>
        <w:gridCol w:w="7"/>
      </w:tblGrid>
      <w:tr w:rsidR="00F429CB" w:rsidRPr="00AF1C29" w:rsidTr="00817886">
        <w:trPr>
          <w:gridAfter w:val="1"/>
          <w:wAfter w:w="7" w:type="dxa"/>
          <w:cantSplit/>
          <w:trHeight w:val="836"/>
        </w:trPr>
        <w:tc>
          <w:tcPr>
            <w:tcW w:w="559" w:type="dxa"/>
            <w:tcBorders>
              <w:top w:val="inset" w:sz="6" w:space="0" w:color="auto"/>
              <w:left w:val="inset" w:sz="6" w:space="0" w:color="auto"/>
              <w:bottom w:val="inset" w:sz="6" w:space="0" w:color="auto"/>
              <w:right w:val="inset" w:sz="6" w:space="0" w:color="auto"/>
            </w:tcBorders>
            <w:shd w:val="clear" w:color="auto" w:fill="auto"/>
            <w:vAlign w:val="center"/>
          </w:tcPr>
          <w:p w:rsidR="00F429CB" w:rsidRPr="0008021D" w:rsidRDefault="00F429CB" w:rsidP="00F429CB">
            <w:pPr>
              <w:autoSpaceDE w:val="0"/>
              <w:autoSpaceDN w:val="0"/>
              <w:spacing w:after="0" w:line="240" w:lineRule="auto"/>
              <w:ind w:left="993" w:hanging="993"/>
              <w:jc w:val="center"/>
              <w:rPr>
                <w:rFonts w:ascii="Times New Roman" w:eastAsia="Times New Roman" w:hAnsi="Times New Roman"/>
                <w:b/>
                <w:sz w:val="22"/>
                <w:szCs w:val="22"/>
                <w:lang w:eastAsia="ru-RU"/>
              </w:rPr>
            </w:pPr>
            <w:bookmarkStart w:id="38" w:name="_Toc418282194"/>
            <w:bookmarkStart w:id="39" w:name="_Toc418282195"/>
            <w:bookmarkStart w:id="40" w:name="_Toc418282197"/>
            <w:bookmarkEnd w:id="38"/>
            <w:bookmarkEnd w:id="39"/>
            <w:bookmarkEnd w:id="40"/>
            <w:r w:rsidRPr="0008021D">
              <w:rPr>
                <w:rFonts w:ascii="Times New Roman" w:eastAsia="Times New Roman" w:hAnsi="Times New Roman"/>
                <w:b/>
                <w:sz w:val="22"/>
                <w:szCs w:val="22"/>
                <w:lang w:eastAsia="ru-RU"/>
              </w:rPr>
              <w:t>№</w:t>
            </w:r>
          </w:p>
          <w:p w:rsidR="00F429CB" w:rsidRPr="00AF1C29" w:rsidRDefault="00F429CB" w:rsidP="00F429CB">
            <w:pPr>
              <w:autoSpaceDE w:val="0"/>
              <w:autoSpaceDN w:val="0"/>
              <w:spacing w:after="0" w:line="240" w:lineRule="auto"/>
              <w:ind w:left="993" w:hanging="993"/>
              <w:jc w:val="center"/>
              <w:rPr>
                <w:rFonts w:ascii="Times New Roman" w:eastAsia="Times New Roman" w:hAnsi="Times New Roman"/>
                <w:sz w:val="22"/>
                <w:szCs w:val="22"/>
                <w:lang w:eastAsia="ru-RU"/>
              </w:rPr>
            </w:pPr>
            <w:r w:rsidRPr="00AF1C29">
              <w:rPr>
                <w:rFonts w:ascii="Times New Roman" w:eastAsia="Times New Roman" w:hAnsi="Times New Roman"/>
                <w:b/>
                <w:sz w:val="22"/>
                <w:szCs w:val="22"/>
                <w:lang w:eastAsia="ru-RU"/>
              </w:rPr>
              <w:t>п/п</w:t>
            </w:r>
          </w:p>
        </w:tc>
        <w:tc>
          <w:tcPr>
            <w:tcW w:w="5103" w:type="dxa"/>
            <w:tcBorders>
              <w:top w:val="inset" w:sz="6" w:space="0" w:color="auto"/>
              <w:left w:val="inset" w:sz="6" w:space="0" w:color="auto"/>
              <w:bottom w:val="inset" w:sz="6" w:space="0" w:color="auto"/>
              <w:right w:val="single" w:sz="4" w:space="0" w:color="auto"/>
            </w:tcBorders>
            <w:shd w:val="clear" w:color="auto" w:fill="auto"/>
            <w:vAlign w:val="center"/>
          </w:tcPr>
          <w:p w:rsidR="00F429CB" w:rsidRPr="00A40E78" w:rsidRDefault="00F429CB" w:rsidP="00F429CB">
            <w:pPr>
              <w:autoSpaceDE w:val="0"/>
              <w:autoSpaceDN w:val="0"/>
              <w:spacing w:after="0" w:line="240" w:lineRule="auto"/>
              <w:ind w:left="993" w:hanging="993"/>
              <w:jc w:val="center"/>
              <w:rPr>
                <w:rFonts w:ascii="Times New Roman" w:eastAsia="Times New Roman" w:hAnsi="Times New Roman"/>
                <w:sz w:val="22"/>
                <w:szCs w:val="22"/>
                <w:lang w:eastAsia="ru-RU"/>
              </w:rPr>
            </w:pPr>
            <w:r>
              <w:rPr>
                <w:rFonts w:ascii="Times New Roman" w:eastAsia="Times New Roman" w:hAnsi="Times New Roman"/>
                <w:b/>
                <w:sz w:val="22"/>
                <w:szCs w:val="22"/>
                <w:lang w:eastAsia="ru-RU"/>
              </w:rPr>
              <w:t>Наименование продукции</w:t>
            </w:r>
          </w:p>
        </w:tc>
        <w:tc>
          <w:tcPr>
            <w:tcW w:w="993" w:type="dxa"/>
            <w:tcBorders>
              <w:top w:val="inset" w:sz="6" w:space="0" w:color="auto"/>
              <w:left w:val="single" w:sz="4" w:space="0" w:color="auto"/>
              <w:bottom w:val="inset" w:sz="6" w:space="0" w:color="auto"/>
              <w:right w:val="inset" w:sz="6" w:space="0" w:color="auto"/>
            </w:tcBorders>
            <w:shd w:val="clear" w:color="auto" w:fill="auto"/>
            <w:vAlign w:val="center"/>
          </w:tcPr>
          <w:p w:rsidR="00F429CB" w:rsidRPr="0008021D" w:rsidRDefault="005C11A7" w:rsidP="00F429CB">
            <w:pPr>
              <w:autoSpaceDE w:val="0"/>
              <w:autoSpaceDN w:val="0"/>
              <w:spacing w:after="0" w:line="240" w:lineRule="auto"/>
              <w:ind w:left="993" w:hanging="993"/>
              <w:jc w:val="center"/>
              <w:rPr>
                <w:rFonts w:ascii="Times New Roman" w:eastAsia="Times New Roman" w:hAnsi="Times New Roman"/>
                <w:b/>
                <w:sz w:val="22"/>
                <w:szCs w:val="22"/>
                <w:lang w:eastAsia="ru-RU"/>
              </w:rPr>
            </w:pPr>
            <w:r>
              <w:rPr>
                <w:rFonts w:ascii="Times New Roman" w:hAnsi="Times New Roman"/>
                <w:b/>
                <w:sz w:val="24"/>
                <w:szCs w:val="24"/>
                <w:lang w:bidi="he-IL"/>
              </w:rPr>
              <w:t>Ед. изм.</w:t>
            </w:r>
          </w:p>
        </w:tc>
        <w:tc>
          <w:tcPr>
            <w:tcW w:w="1017" w:type="dxa"/>
            <w:tcBorders>
              <w:top w:val="inset" w:sz="6" w:space="0" w:color="auto"/>
              <w:left w:val="inset" w:sz="6" w:space="0" w:color="auto"/>
              <w:bottom w:val="inset" w:sz="6" w:space="0" w:color="auto"/>
              <w:right w:val="single" w:sz="4" w:space="0" w:color="auto"/>
            </w:tcBorders>
            <w:vAlign w:val="center"/>
          </w:tcPr>
          <w:p w:rsidR="00F429CB" w:rsidRPr="0008021D" w:rsidRDefault="005C11A7" w:rsidP="00F429CB">
            <w:pPr>
              <w:ind w:left="993" w:hanging="993"/>
              <w:jc w:val="center"/>
              <w:rPr>
                <w:rFonts w:ascii="Times New Roman" w:eastAsia="Times New Roman" w:hAnsi="Times New Roman"/>
                <w:b/>
                <w:sz w:val="22"/>
                <w:szCs w:val="22"/>
                <w:lang w:eastAsia="ru-RU"/>
              </w:rPr>
            </w:pPr>
            <w:r>
              <w:rPr>
                <w:rFonts w:ascii="Times New Roman" w:eastAsia="Times New Roman" w:hAnsi="Times New Roman"/>
                <w:b/>
                <w:sz w:val="24"/>
                <w:szCs w:val="24"/>
                <w:lang w:eastAsia="ru-RU"/>
              </w:rPr>
              <w:t>Кол-во</w:t>
            </w:r>
          </w:p>
        </w:tc>
        <w:tc>
          <w:tcPr>
            <w:tcW w:w="2101" w:type="dxa"/>
            <w:tcBorders>
              <w:top w:val="inset" w:sz="6" w:space="0" w:color="auto"/>
              <w:left w:val="single" w:sz="4" w:space="0" w:color="auto"/>
              <w:bottom w:val="inset" w:sz="6" w:space="0" w:color="auto"/>
              <w:right w:val="single" w:sz="4" w:space="0" w:color="auto"/>
            </w:tcBorders>
            <w:vAlign w:val="center"/>
          </w:tcPr>
          <w:p w:rsidR="00F429CB" w:rsidRPr="008034A8" w:rsidRDefault="00F429CB" w:rsidP="00737325">
            <w:pPr>
              <w:spacing w:after="0"/>
              <w:jc w:val="center"/>
              <w:rPr>
                <w:rFonts w:ascii="Times New Roman" w:eastAsia="Times New Roman" w:hAnsi="Times New Roman"/>
                <w:b/>
                <w:sz w:val="22"/>
                <w:szCs w:val="22"/>
                <w:lang w:eastAsia="ru-RU"/>
              </w:rPr>
            </w:pPr>
            <w:r w:rsidRPr="00277040">
              <w:rPr>
                <w:rFonts w:ascii="Times New Roman" w:hAnsi="Times New Roman"/>
                <w:b/>
                <w:sz w:val="24"/>
                <w:szCs w:val="24"/>
              </w:rPr>
              <w:t>Цена за ед. (</w:t>
            </w:r>
            <w:r>
              <w:rPr>
                <w:rFonts w:ascii="Times New Roman" w:hAnsi="Times New Roman"/>
                <w:b/>
                <w:sz w:val="24"/>
                <w:szCs w:val="24"/>
              </w:rPr>
              <w:t>_____</w:t>
            </w:r>
            <w:r w:rsidR="005C11A7">
              <w:rPr>
                <w:rFonts w:ascii="Times New Roman" w:hAnsi="Times New Roman"/>
                <w:b/>
                <w:sz w:val="24"/>
                <w:szCs w:val="24"/>
              </w:rPr>
              <w:t xml:space="preserve"> </w:t>
            </w:r>
            <w:r w:rsidRPr="00416DDE">
              <w:rPr>
                <w:rFonts w:ascii="Times New Roman" w:hAnsi="Times New Roman"/>
                <w:color w:val="000000"/>
                <w:sz w:val="24"/>
                <w:szCs w:val="24"/>
              </w:rPr>
              <w:t>НДС __</w:t>
            </w:r>
            <w:r w:rsidR="00737325">
              <w:rPr>
                <w:rFonts w:ascii="Times New Roman" w:hAnsi="Times New Roman"/>
                <w:color w:val="000000"/>
                <w:sz w:val="24"/>
                <w:szCs w:val="24"/>
                <w:vertAlign w:val="superscript"/>
              </w:rPr>
              <w:t>1</w:t>
            </w:r>
            <w:r w:rsidRPr="00416DDE">
              <w:rPr>
                <w:rFonts w:ascii="Times New Roman" w:hAnsi="Times New Roman"/>
                <w:color w:val="000000"/>
                <w:sz w:val="24"/>
                <w:szCs w:val="24"/>
              </w:rPr>
              <w:t>)</w:t>
            </w:r>
            <w:r w:rsidRPr="00277040">
              <w:rPr>
                <w:rFonts w:ascii="Times New Roman" w:hAnsi="Times New Roman"/>
                <w:i/>
                <w:color w:val="000000"/>
                <w:sz w:val="24"/>
                <w:szCs w:val="24"/>
              </w:rPr>
              <w:t xml:space="preserve">, </w:t>
            </w:r>
            <w:r>
              <w:rPr>
                <w:rFonts w:ascii="Times New Roman" w:hAnsi="Times New Roman"/>
                <w:b/>
                <w:color w:val="000000"/>
                <w:sz w:val="24"/>
                <w:szCs w:val="24"/>
              </w:rPr>
              <w:t>рублей</w:t>
            </w:r>
            <w:r w:rsidRPr="00277040">
              <w:rPr>
                <w:rFonts w:ascii="Times New Roman" w:hAnsi="Times New Roman"/>
                <w:b/>
                <w:color w:val="000000"/>
                <w:sz w:val="24"/>
                <w:szCs w:val="24"/>
              </w:rPr>
              <w:t>.</w:t>
            </w:r>
          </w:p>
        </w:tc>
      </w:tr>
      <w:tr w:rsidR="00F429CB" w:rsidRPr="00AF1C29" w:rsidTr="005C11A7">
        <w:trPr>
          <w:gridAfter w:val="1"/>
          <w:wAfter w:w="7" w:type="dxa"/>
          <w:cantSplit/>
          <w:trHeight w:val="329"/>
        </w:trPr>
        <w:tc>
          <w:tcPr>
            <w:tcW w:w="559" w:type="dxa"/>
            <w:tcBorders>
              <w:top w:val="inset" w:sz="6" w:space="0" w:color="auto"/>
              <w:left w:val="inset" w:sz="6" w:space="0" w:color="auto"/>
              <w:bottom w:val="inset" w:sz="6" w:space="0" w:color="auto"/>
              <w:right w:val="inset" w:sz="6" w:space="0" w:color="auto"/>
            </w:tcBorders>
            <w:shd w:val="clear" w:color="auto" w:fill="auto"/>
            <w:vAlign w:val="center"/>
          </w:tcPr>
          <w:p w:rsidR="00F429CB" w:rsidRPr="004C2BFF" w:rsidRDefault="00F429CB" w:rsidP="00F429CB">
            <w:pPr>
              <w:autoSpaceDE w:val="0"/>
              <w:autoSpaceDN w:val="0"/>
              <w:spacing w:after="0" w:line="240" w:lineRule="auto"/>
              <w:ind w:left="993" w:hanging="993"/>
              <w:jc w:val="center"/>
              <w:rPr>
                <w:rFonts w:ascii="Times New Roman" w:eastAsia="Times New Roman" w:hAnsi="Times New Roman"/>
                <w:b/>
                <w:sz w:val="22"/>
                <w:szCs w:val="22"/>
                <w:lang w:eastAsia="ru-RU"/>
              </w:rPr>
            </w:pPr>
            <w:r w:rsidRPr="004C2BFF">
              <w:rPr>
                <w:rFonts w:ascii="Times New Roman" w:eastAsia="Times New Roman" w:hAnsi="Times New Roman"/>
                <w:b/>
                <w:sz w:val="22"/>
                <w:szCs w:val="22"/>
                <w:lang w:eastAsia="ru-RU"/>
              </w:rPr>
              <w:t>1</w:t>
            </w:r>
          </w:p>
        </w:tc>
        <w:tc>
          <w:tcPr>
            <w:tcW w:w="5103" w:type="dxa"/>
            <w:tcBorders>
              <w:top w:val="inset" w:sz="6" w:space="0" w:color="auto"/>
              <w:left w:val="inset" w:sz="6" w:space="0" w:color="auto"/>
              <w:bottom w:val="inset" w:sz="6" w:space="0" w:color="auto"/>
              <w:right w:val="single" w:sz="4" w:space="0" w:color="auto"/>
            </w:tcBorders>
            <w:shd w:val="clear" w:color="auto" w:fill="auto"/>
            <w:vAlign w:val="center"/>
          </w:tcPr>
          <w:p w:rsidR="00F429CB" w:rsidRPr="004C2BFF" w:rsidRDefault="00F429CB" w:rsidP="00F429CB">
            <w:pPr>
              <w:autoSpaceDE w:val="0"/>
              <w:autoSpaceDN w:val="0"/>
              <w:spacing w:after="0" w:line="240" w:lineRule="auto"/>
              <w:ind w:left="993" w:hanging="993"/>
              <w:jc w:val="center"/>
              <w:rPr>
                <w:rFonts w:ascii="Times New Roman" w:eastAsia="Times New Roman" w:hAnsi="Times New Roman"/>
                <w:b/>
                <w:sz w:val="22"/>
                <w:szCs w:val="22"/>
                <w:lang w:eastAsia="ru-RU"/>
              </w:rPr>
            </w:pPr>
            <w:r w:rsidRPr="004C2BFF">
              <w:rPr>
                <w:rFonts w:ascii="Times New Roman" w:eastAsia="Times New Roman" w:hAnsi="Times New Roman"/>
                <w:b/>
                <w:sz w:val="22"/>
                <w:szCs w:val="22"/>
                <w:lang w:eastAsia="ru-RU"/>
              </w:rPr>
              <w:t>2</w:t>
            </w:r>
          </w:p>
        </w:tc>
        <w:tc>
          <w:tcPr>
            <w:tcW w:w="993" w:type="dxa"/>
            <w:tcBorders>
              <w:top w:val="inset" w:sz="6" w:space="0" w:color="auto"/>
              <w:left w:val="single" w:sz="4" w:space="0" w:color="auto"/>
              <w:bottom w:val="inset" w:sz="6" w:space="0" w:color="auto"/>
              <w:right w:val="inset" w:sz="6" w:space="0" w:color="auto"/>
            </w:tcBorders>
            <w:shd w:val="clear" w:color="auto" w:fill="auto"/>
            <w:vAlign w:val="center"/>
          </w:tcPr>
          <w:p w:rsidR="00F429CB" w:rsidRPr="004C2BFF" w:rsidRDefault="00F429CB" w:rsidP="00F429CB">
            <w:pPr>
              <w:autoSpaceDE w:val="0"/>
              <w:autoSpaceDN w:val="0"/>
              <w:spacing w:after="0" w:line="240" w:lineRule="auto"/>
              <w:ind w:left="993" w:hanging="993"/>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3</w:t>
            </w:r>
          </w:p>
        </w:tc>
        <w:tc>
          <w:tcPr>
            <w:tcW w:w="1017" w:type="dxa"/>
            <w:tcBorders>
              <w:top w:val="inset" w:sz="6" w:space="0" w:color="auto"/>
              <w:left w:val="inset" w:sz="6" w:space="0" w:color="auto"/>
              <w:bottom w:val="inset" w:sz="6" w:space="0" w:color="auto"/>
              <w:right w:val="single" w:sz="4" w:space="0" w:color="auto"/>
            </w:tcBorders>
            <w:vAlign w:val="center"/>
          </w:tcPr>
          <w:p w:rsidR="00F429CB" w:rsidRPr="004C2BFF" w:rsidRDefault="00F429CB" w:rsidP="00F429CB">
            <w:pPr>
              <w:spacing w:after="0"/>
              <w:ind w:left="993" w:hanging="993"/>
              <w:jc w:val="center"/>
              <w:rPr>
                <w:rFonts w:ascii="Times New Roman" w:hAnsi="Times New Roman"/>
                <w:b/>
                <w:sz w:val="24"/>
                <w:szCs w:val="24"/>
              </w:rPr>
            </w:pPr>
            <w:r>
              <w:rPr>
                <w:rFonts w:ascii="Times New Roman" w:hAnsi="Times New Roman"/>
                <w:b/>
                <w:sz w:val="24"/>
                <w:szCs w:val="24"/>
              </w:rPr>
              <w:t>4</w:t>
            </w:r>
          </w:p>
        </w:tc>
        <w:tc>
          <w:tcPr>
            <w:tcW w:w="2101" w:type="dxa"/>
            <w:tcBorders>
              <w:top w:val="inset" w:sz="6" w:space="0" w:color="auto"/>
              <w:left w:val="single" w:sz="4" w:space="0" w:color="auto"/>
              <w:bottom w:val="inset" w:sz="6" w:space="0" w:color="auto"/>
              <w:right w:val="single" w:sz="4" w:space="0" w:color="auto"/>
            </w:tcBorders>
            <w:vAlign w:val="center"/>
          </w:tcPr>
          <w:p w:rsidR="00F429CB" w:rsidRPr="004C2BFF" w:rsidRDefault="005C11A7" w:rsidP="00F429CB">
            <w:pPr>
              <w:spacing w:after="0"/>
              <w:ind w:left="993" w:hanging="993"/>
              <w:jc w:val="center"/>
              <w:rPr>
                <w:rFonts w:ascii="Times New Roman" w:hAnsi="Times New Roman"/>
                <w:b/>
                <w:sz w:val="24"/>
                <w:szCs w:val="24"/>
              </w:rPr>
            </w:pPr>
            <w:r>
              <w:rPr>
                <w:rFonts w:ascii="Times New Roman" w:hAnsi="Times New Roman"/>
                <w:b/>
                <w:sz w:val="24"/>
                <w:szCs w:val="24"/>
              </w:rPr>
              <w:t>5</w:t>
            </w:r>
          </w:p>
        </w:tc>
      </w:tr>
      <w:tr w:rsidR="00F429CB" w:rsidRPr="00AF1C29" w:rsidTr="005C11A7">
        <w:tblPrEx>
          <w:tblCellMar>
            <w:left w:w="108" w:type="dxa"/>
            <w:right w:w="108" w:type="dxa"/>
          </w:tblCellMar>
        </w:tblPrEx>
        <w:trPr>
          <w:gridAfter w:val="1"/>
          <w:wAfter w:w="7" w:type="dxa"/>
          <w:trHeight w:val="15"/>
        </w:trPr>
        <w:tc>
          <w:tcPr>
            <w:tcW w:w="559" w:type="dxa"/>
            <w:tcBorders>
              <w:top w:val="outset" w:sz="6" w:space="0" w:color="auto"/>
              <w:left w:val="outset" w:sz="6" w:space="0" w:color="auto"/>
              <w:bottom w:val="outset" w:sz="6" w:space="0" w:color="auto"/>
              <w:right w:val="outset" w:sz="6" w:space="0" w:color="auto"/>
            </w:tcBorders>
            <w:vAlign w:val="center"/>
          </w:tcPr>
          <w:p w:rsidR="00F429CB" w:rsidRPr="00AF1C29" w:rsidRDefault="00F429CB" w:rsidP="00F429CB">
            <w:pPr>
              <w:spacing w:after="0" w:line="240" w:lineRule="auto"/>
              <w:ind w:left="993" w:right="-96" w:hanging="993"/>
              <w:contextualSpacing/>
              <w:rPr>
                <w:rFonts w:ascii="Times New Roman" w:eastAsia="Times New Roman" w:hAnsi="Times New Roman"/>
                <w:sz w:val="22"/>
                <w:szCs w:val="22"/>
                <w:lang w:eastAsia="ru-RU"/>
              </w:rPr>
            </w:pPr>
            <w:r>
              <w:rPr>
                <w:rFonts w:ascii="Times New Roman" w:eastAsia="Times New Roman" w:hAnsi="Times New Roman"/>
                <w:sz w:val="22"/>
                <w:szCs w:val="22"/>
                <w:lang w:eastAsia="ru-RU"/>
              </w:rPr>
              <w:t>1.</w:t>
            </w:r>
          </w:p>
        </w:tc>
        <w:tc>
          <w:tcPr>
            <w:tcW w:w="5103" w:type="dxa"/>
            <w:tcBorders>
              <w:top w:val="outset" w:sz="6" w:space="0" w:color="auto"/>
              <w:left w:val="outset" w:sz="6" w:space="0" w:color="auto"/>
              <w:bottom w:val="outset" w:sz="6" w:space="0" w:color="auto"/>
              <w:right w:val="single" w:sz="4" w:space="0" w:color="auto"/>
            </w:tcBorders>
            <w:shd w:val="clear" w:color="auto" w:fill="auto"/>
            <w:vAlign w:val="center"/>
          </w:tcPr>
          <w:p w:rsidR="00F429CB" w:rsidRPr="007E41F5" w:rsidRDefault="005C11A7" w:rsidP="00F429CB">
            <w:pPr>
              <w:spacing w:after="0" w:line="240" w:lineRule="auto"/>
              <w:ind w:left="993" w:hanging="993"/>
              <w:rPr>
                <w:rFonts w:ascii="Times New Roman" w:hAnsi="Times New Roman"/>
                <w:color w:val="000000"/>
                <w:sz w:val="22"/>
                <w:szCs w:val="22"/>
              </w:rPr>
            </w:pPr>
            <w:r>
              <w:rPr>
                <w:rFonts w:ascii="Times New Roman" w:hAnsi="Times New Roman"/>
                <w:color w:val="000000"/>
                <w:sz w:val="22"/>
                <w:szCs w:val="22"/>
              </w:rPr>
              <w:t>Очистка кровли от снега и наледи</w:t>
            </w:r>
          </w:p>
        </w:tc>
        <w:tc>
          <w:tcPr>
            <w:tcW w:w="993" w:type="dxa"/>
            <w:tcBorders>
              <w:top w:val="outset" w:sz="6" w:space="0" w:color="auto"/>
              <w:left w:val="single" w:sz="4" w:space="0" w:color="auto"/>
              <w:bottom w:val="outset" w:sz="6" w:space="0" w:color="auto"/>
              <w:right w:val="outset" w:sz="6" w:space="0" w:color="auto"/>
            </w:tcBorders>
            <w:shd w:val="clear" w:color="auto" w:fill="auto"/>
            <w:vAlign w:val="center"/>
          </w:tcPr>
          <w:p w:rsidR="00F429CB" w:rsidRPr="007E41F5" w:rsidRDefault="005C11A7" w:rsidP="00F429CB">
            <w:pPr>
              <w:spacing w:after="0" w:line="240" w:lineRule="auto"/>
              <w:ind w:left="993" w:hanging="993"/>
              <w:rPr>
                <w:rFonts w:ascii="Times New Roman" w:hAnsi="Times New Roman"/>
                <w:color w:val="000000"/>
                <w:sz w:val="22"/>
                <w:szCs w:val="22"/>
              </w:rPr>
            </w:pPr>
            <w:r>
              <w:rPr>
                <w:rFonts w:ascii="Times New Roman" w:hAnsi="Times New Roman"/>
                <w:color w:val="000000"/>
                <w:sz w:val="22"/>
                <w:szCs w:val="22"/>
              </w:rPr>
              <w:t>кв.м.</w:t>
            </w:r>
          </w:p>
        </w:tc>
        <w:tc>
          <w:tcPr>
            <w:tcW w:w="1017" w:type="dxa"/>
            <w:tcBorders>
              <w:top w:val="outset" w:sz="6" w:space="0" w:color="auto"/>
              <w:left w:val="outset" w:sz="6" w:space="0" w:color="auto"/>
              <w:bottom w:val="outset" w:sz="6" w:space="0" w:color="auto"/>
              <w:right w:val="single" w:sz="4" w:space="0" w:color="auto"/>
            </w:tcBorders>
          </w:tcPr>
          <w:p w:rsidR="00F429CB" w:rsidRPr="00A40E78" w:rsidRDefault="00073135" w:rsidP="00F429CB">
            <w:pPr>
              <w:spacing w:after="0"/>
              <w:ind w:left="993" w:hanging="993"/>
              <w:jc w:val="center"/>
              <w:rPr>
                <w:rFonts w:ascii="Times New Roman" w:eastAsia="Times New Roman" w:hAnsi="Times New Roman"/>
                <w:sz w:val="22"/>
                <w:szCs w:val="22"/>
                <w:lang w:eastAsia="ru-RU"/>
              </w:rPr>
            </w:pPr>
            <w:r>
              <w:rPr>
                <w:rFonts w:ascii="Times New Roman" w:eastAsia="Times New Roman" w:hAnsi="Times New Roman"/>
                <w:sz w:val="22"/>
                <w:szCs w:val="22"/>
                <w:lang w:eastAsia="ru-RU"/>
              </w:rPr>
              <w:t>1</w:t>
            </w:r>
          </w:p>
        </w:tc>
        <w:tc>
          <w:tcPr>
            <w:tcW w:w="2101" w:type="dxa"/>
            <w:tcBorders>
              <w:top w:val="outset" w:sz="6" w:space="0" w:color="auto"/>
              <w:left w:val="single" w:sz="4" w:space="0" w:color="auto"/>
              <w:bottom w:val="outset" w:sz="6" w:space="0" w:color="auto"/>
              <w:right w:val="single" w:sz="4" w:space="0" w:color="auto"/>
            </w:tcBorders>
          </w:tcPr>
          <w:p w:rsidR="00F429CB" w:rsidRPr="00A97059" w:rsidRDefault="00F429CB" w:rsidP="00F429CB">
            <w:pPr>
              <w:spacing w:after="0"/>
              <w:ind w:left="993" w:hanging="993"/>
              <w:jc w:val="center"/>
              <w:rPr>
                <w:rFonts w:ascii="Times New Roman" w:eastAsia="Times New Roman" w:hAnsi="Times New Roman"/>
                <w:sz w:val="22"/>
                <w:szCs w:val="22"/>
                <w:highlight w:val="yellow"/>
                <w:lang w:eastAsia="ru-RU"/>
              </w:rPr>
            </w:pPr>
          </w:p>
        </w:tc>
      </w:tr>
      <w:tr w:rsidR="00F429CB" w:rsidRPr="00AF1C29" w:rsidTr="005C11A7">
        <w:tblPrEx>
          <w:tblCellMar>
            <w:left w:w="108" w:type="dxa"/>
            <w:right w:w="108" w:type="dxa"/>
          </w:tblCellMar>
        </w:tblPrEx>
        <w:trPr>
          <w:gridAfter w:val="1"/>
          <w:wAfter w:w="7" w:type="dxa"/>
          <w:trHeight w:val="15"/>
        </w:trPr>
        <w:tc>
          <w:tcPr>
            <w:tcW w:w="559" w:type="dxa"/>
            <w:tcBorders>
              <w:top w:val="outset" w:sz="6" w:space="0" w:color="auto"/>
              <w:left w:val="outset" w:sz="6" w:space="0" w:color="auto"/>
              <w:bottom w:val="outset" w:sz="6" w:space="0" w:color="auto"/>
              <w:right w:val="outset" w:sz="6" w:space="0" w:color="auto"/>
            </w:tcBorders>
            <w:vAlign w:val="center"/>
          </w:tcPr>
          <w:p w:rsidR="00F429CB" w:rsidRDefault="00F429CB" w:rsidP="00F429CB">
            <w:pPr>
              <w:spacing w:after="0" w:line="240" w:lineRule="auto"/>
              <w:ind w:left="993" w:right="-96" w:hanging="993"/>
              <w:contextualSpacing/>
              <w:rPr>
                <w:rFonts w:ascii="Times New Roman" w:eastAsia="Times New Roman" w:hAnsi="Times New Roman"/>
                <w:sz w:val="22"/>
                <w:szCs w:val="22"/>
                <w:lang w:eastAsia="ru-RU"/>
              </w:rPr>
            </w:pPr>
            <w:r>
              <w:rPr>
                <w:rFonts w:ascii="Times New Roman" w:eastAsia="Times New Roman" w:hAnsi="Times New Roman"/>
                <w:sz w:val="22"/>
                <w:szCs w:val="22"/>
                <w:lang w:eastAsia="ru-RU"/>
              </w:rPr>
              <w:t>2.</w:t>
            </w:r>
          </w:p>
        </w:tc>
        <w:tc>
          <w:tcPr>
            <w:tcW w:w="5103" w:type="dxa"/>
            <w:tcBorders>
              <w:top w:val="outset" w:sz="6" w:space="0" w:color="auto"/>
              <w:left w:val="outset" w:sz="6" w:space="0" w:color="auto"/>
              <w:bottom w:val="outset" w:sz="6" w:space="0" w:color="auto"/>
              <w:right w:val="single" w:sz="4" w:space="0" w:color="auto"/>
            </w:tcBorders>
            <w:shd w:val="clear" w:color="auto" w:fill="auto"/>
            <w:vAlign w:val="center"/>
          </w:tcPr>
          <w:p w:rsidR="00F429CB" w:rsidRPr="007E41F5" w:rsidRDefault="005C11A7" w:rsidP="00F429CB">
            <w:pPr>
              <w:spacing w:after="0" w:line="240" w:lineRule="auto"/>
              <w:ind w:left="993" w:hanging="993"/>
              <w:rPr>
                <w:rFonts w:ascii="Times New Roman" w:hAnsi="Times New Roman"/>
                <w:color w:val="000000"/>
                <w:sz w:val="22"/>
                <w:szCs w:val="22"/>
              </w:rPr>
            </w:pPr>
            <w:r>
              <w:rPr>
                <w:rFonts w:ascii="Times New Roman" w:hAnsi="Times New Roman"/>
                <w:color w:val="000000"/>
                <w:sz w:val="22"/>
                <w:szCs w:val="22"/>
              </w:rPr>
              <w:t xml:space="preserve">Очистка карниза от снега и наледи </w:t>
            </w:r>
          </w:p>
        </w:tc>
        <w:tc>
          <w:tcPr>
            <w:tcW w:w="993" w:type="dxa"/>
            <w:tcBorders>
              <w:top w:val="outset" w:sz="6" w:space="0" w:color="auto"/>
              <w:left w:val="single" w:sz="4" w:space="0" w:color="auto"/>
              <w:bottom w:val="outset" w:sz="6" w:space="0" w:color="auto"/>
              <w:right w:val="outset" w:sz="6" w:space="0" w:color="auto"/>
            </w:tcBorders>
            <w:shd w:val="clear" w:color="auto" w:fill="auto"/>
            <w:vAlign w:val="center"/>
          </w:tcPr>
          <w:p w:rsidR="00F429CB" w:rsidRPr="007E41F5" w:rsidRDefault="005C11A7" w:rsidP="00F429CB">
            <w:pPr>
              <w:spacing w:after="0" w:line="240" w:lineRule="auto"/>
              <w:ind w:left="993" w:hanging="993"/>
              <w:rPr>
                <w:rFonts w:ascii="Times New Roman" w:hAnsi="Times New Roman"/>
                <w:color w:val="000000"/>
                <w:sz w:val="22"/>
                <w:szCs w:val="22"/>
              </w:rPr>
            </w:pPr>
            <w:r>
              <w:rPr>
                <w:rFonts w:ascii="Times New Roman" w:hAnsi="Times New Roman"/>
                <w:color w:val="000000"/>
                <w:sz w:val="22"/>
                <w:szCs w:val="22"/>
              </w:rPr>
              <w:t>п.м.</w:t>
            </w:r>
          </w:p>
        </w:tc>
        <w:tc>
          <w:tcPr>
            <w:tcW w:w="1017" w:type="dxa"/>
            <w:tcBorders>
              <w:top w:val="outset" w:sz="6" w:space="0" w:color="auto"/>
              <w:left w:val="outset" w:sz="6" w:space="0" w:color="auto"/>
              <w:bottom w:val="outset" w:sz="6" w:space="0" w:color="auto"/>
              <w:right w:val="single" w:sz="4" w:space="0" w:color="auto"/>
            </w:tcBorders>
          </w:tcPr>
          <w:p w:rsidR="00F429CB" w:rsidRPr="00A40E78" w:rsidRDefault="00073135" w:rsidP="00F429CB">
            <w:pPr>
              <w:spacing w:after="0"/>
              <w:ind w:left="993" w:hanging="993"/>
              <w:jc w:val="center"/>
              <w:rPr>
                <w:rFonts w:ascii="Times New Roman" w:eastAsia="Times New Roman" w:hAnsi="Times New Roman"/>
                <w:sz w:val="22"/>
                <w:szCs w:val="22"/>
                <w:lang w:eastAsia="ru-RU"/>
              </w:rPr>
            </w:pPr>
            <w:r>
              <w:rPr>
                <w:rFonts w:ascii="Times New Roman" w:eastAsia="Times New Roman" w:hAnsi="Times New Roman"/>
                <w:sz w:val="22"/>
                <w:szCs w:val="22"/>
                <w:lang w:eastAsia="ru-RU"/>
              </w:rPr>
              <w:t>1</w:t>
            </w:r>
          </w:p>
        </w:tc>
        <w:tc>
          <w:tcPr>
            <w:tcW w:w="2101" w:type="dxa"/>
            <w:tcBorders>
              <w:top w:val="outset" w:sz="6" w:space="0" w:color="auto"/>
              <w:left w:val="single" w:sz="4" w:space="0" w:color="auto"/>
              <w:bottom w:val="outset" w:sz="6" w:space="0" w:color="auto"/>
              <w:right w:val="single" w:sz="4" w:space="0" w:color="auto"/>
            </w:tcBorders>
          </w:tcPr>
          <w:p w:rsidR="00F429CB" w:rsidRPr="00A97059" w:rsidRDefault="00F429CB" w:rsidP="00F429CB">
            <w:pPr>
              <w:spacing w:after="0"/>
              <w:ind w:left="993" w:hanging="993"/>
              <w:jc w:val="center"/>
              <w:rPr>
                <w:rFonts w:ascii="Times New Roman" w:eastAsia="Times New Roman" w:hAnsi="Times New Roman"/>
                <w:sz w:val="22"/>
                <w:szCs w:val="22"/>
                <w:highlight w:val="yellow"/>
                <w:lang w:eastAsia="ru-RU"/>
              </w:rPr>
            </w:pPr>
          </w:p>
        </w:tc>
      </w:tr>
      <w:tr w:rsidR="00F429CB" w:rsidRPr="00AF1C29" w:rsidTr="005C11A7">
        <w:tblPrEx>
          <w:tblCellMar>
            <w:left w:w="108" w:type="dxa"/>
            <w:right w:w="108" w:type="dxa"/>
          </w:tblCellMar>
        </w:tblPrEx>
        <w:trPr>
          <w:trHeight w:val="15"/>
        </w:trPr>
        <w:tc>
          <w:tcPr>
            <w:tcW w:w="9780" w:type="dxa"/>
            <w:gridSpan w:val="6"/>
            <w:tcBorders>
              <w:top w:val="outset" w:sz="6" w:space="0" w:color="auto"/>
              <w:left w:val="outset" w:sz="6" w:space="0" w:color="auto"/>
              <w:bottom w:val="outset" w:sz="6" w:space="0" w:color="auto"/>
              <w:right w:val="single" w:sz="4" w:space="0" w:color="auto"/>
            </w:tcBorders>
            <w:vAlign w:val="center"/>
          </w:tcPr>
          <w:p w:rsidR="00F429CB" w:rsidRPr="00A97059" w:rsidRDefault="00F429CB" w:rsidP="00737325">
            <w:pPr>
              <w:spacing w:after="0"/>
              <w:ind w:left="993"/>
              <w:jc w:val="center"/>
              <w:rPr>
                <w:rFonts w:ascii="Times New Roman" w:eastAsia="Times New Roman" w:hAnsi="Times New Roman"/>
                <w:sz w:val="22"/>
                <w:szCs w:val="22"/>
                <w:highlight w:val="yellow"/>
                <w:lang w:eastAsia="ru-RU"/>
              </w:rPr>
            </w:pPr>
            <w:r w:rsidRPr="00277040">
              <w:rPr>
                <w:rFonts w:ascii="Times New Roman" w:eastAsia="Times New Roman" w:hAnsi="Times New Roman"/>
                <w:b/>
                <w:iCs/>
                <w:sz w:val="24"/>
                <w:szCs w:val="24"/>
                <w:u w:val="single"/>
                <w:lang w:eastAsia="ru-RU"/>
              </w:rPr>
              <w:t>Размер (процент) снижения</w:t>
            </w:r>
            <w:r w:rsidRPr="00277040">
              <w:rPr>
                <w:rFonts w:ascii="Times New Roman" w:eastAsia="Times New Roman" w:hAnsi="Times New Roman"/>
                <w:b/>
                <w:iCs/>
                <w:sz w:val="24"/>
                <w:szCs w:val="24"/>
                <w:lang w:eastAsia="ru-RU"/>
              </w:rPr>
              <w:t xml:space="preserve"> в отношении всех стоимостных величин единиц продукции (работ)______%</w:t>
            </w:r>
            <w:r w:rsidR="00737325">
              <w:rPr>
                <w:rFonts w:ascii="Times New Roman" w:eastAsia="Times New Roman" w:hAnsi="Times New Roman"/>
                <w:b/>
                <w:iCs/>
                <w:sz w:val="24"/>
                <w:szCs w:val="24"/>
                <w:vertAlign w:val="superscript"/>
                <w:lang w:eastAsia="ru-RU"/>
              </w:rPr>
              <w:t>2</w:t>
            </w:r>
          </w:p>
        </w:tc>
      </w:tr>
    </w:tbl>
    <w:p w:rsidR="00691A30" w:rsidRPr="00817886" w:rsidRDefault="00D64A53" w:rsidP="00F429CB">
      <w:pPr>
        <w:widowControl w:val="0"/>
        <w:spacing w:after="0"/>
        <w:ind w:left="993"/>
        <w:jc w:val="both"/>
        <w:rPr>
          <w:rFonts w:ascii="Times New Roman" w:eastAsia="Times New Roman" w:hAnsi="Times New Roman"/>
          <w:b/>
          <w:i/>
          <w:sz w:val="20"/>
          <w:szCs w:val="20"/>
          <w:lang w:eastAsia="ru-RU"/>
        </w:rPr>
      </w:pPr>
      <w:r w:rsidRPr="00817886">
        <w:rPr>
          <w:rFonts w:ascii="Times New Roman" w:eastAsia="Times New Roman" w:hAnsi="Times New Roman"/>
          <w:b/>
          <w:i/>
          <w:sz w:val="20"/>
          <w:szCs w:val="20"/>
          <w:lang w:eastAsia="ru-RU"/>
        </w:rPr>
        <w:t>Инструкция по заполнению таблицы 1:</w:t>
      </w:r>
    </w:p>
    <w:p w:rsidR="006F701C" w:rsidRPr="00817886" w:rsidRDefault="006F701C" w:rsidP="00F429CB">
      <w:pPr>
        <w:widowControl w:val="0"/>
        <w:spacing w:after="0"/>
        <w:ind w:left="993"/>
        <w:jc w:val="both"/>
        <w:rPr>
          <w:rFonts w:ascii="Times New Roman" w:eastAsia="Times New Roman" w:hAnsi="Times New Roman"/>
          <w:b/>
          <w:i/>
          <w:sz w:val="20"/>
          <w:szCs w:val="20"/>
          <w:lang w:eastAsia="ru-RU"/>
        </w:rPr>
      </w:pPr>
      <w:r w:rsidRPr="00817886">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737325" w:rsidRPr="00817886" w:rsidRDefault="00737325" w:rsidP="00737325">
      <w:pPr>
        <w:spacing w:after="0" w:line="240" w:lineRule="auto"/>
        <w:ind w:left="993" w:hanging="142"/>
        <w:jc w:val="both"/>
        <w:rPr>
          <w:rFonts w:ascii="Times New Roman" w:eastAsia="Times New Roman" w:hAnsi="Times New Roman"/>
          <w:i/>
          <w:sz w:val="20"/>
          <w:szCs w:val="20"/>
          <w:lang w:eastAsia="ru-RU"/>
        </w:rPr>
      </w:pPr>
      <w:r w:rsidRPr="00817886">
        <w:rPr>
          <w:rFonts w:ascii="Times New Roman" w:eastAsia="Times New Roman" w:hAnsi="Times New Roman"/>
          <w:sz w:val="20"/>
          <w:szCs w:val="20"/>
          <w:vertAlign w:val="superscript"/>
          <w:lang w:eastAsia="ru-RU"/>
        </w:rPr>
        <w:t xml:space="preserve">1 </w:t>
      </w:r>
      <w:r w:rsidRPr="00817886">
        <w:rPr>
          <w:rFonts w:ascii="Times New Roman" w:eastAsia="Times New Roman" w:hAnsi="Times New Roman"/>
          <w:i/>
          <w:sz w:val="20"/>
          <w:szCs w:val="20"/>
          <w:lang w:eastAsia="ru-RU"/>
        </w:rPr>
        <w:t xml:space="preserve">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«ЦЕНА БЕЗ НДС» в столбце 3 таблицы. </w:t>
      </w:r>
    </w:p>
    <w:p w:rsidR="00737325" w:rsidRPr="00817886" w:rsidRDefault="00737325" w:rsidP="00737325">
      <w:pPr>
        <w:spacing w:after="0" w:line="240" w:lineRule="auto"/>
        <w:ind w:left="993" w:hanging="142"/>
        <w:jc w:val="both"/>
        <w:rPr>
          <w:rFonts w:ascii="Times New Roman" w:eastAsia="Times New Roman" w:hAnsi="Times New Roman"/>
          <w:i/>
          <w:sz w:val="20"/>
          <w:szCs w:val="20"/>
          <w:lang w:eastAsia="ru-RU"/>
        </w:rPr>
      </w:pPr>
      <w:r w:rsidRPr="00817886">
        <w:rPr>
          <w:rFonts w:ascii="Times New Roman" w:eastAsia="Times New Roman" w:hAnsi="Times New Roman"/>
          <w:i/>
          <w:sz w:val="20"/>
          <w:szCs w:val="20"/>
          <w:vertAlign w:val="superscript"/>
          <w:lang w:eastAsia="ru-RU"/>
        </w:rPr>
        <w:t xml:space="preserve">2 </w:t>
      </w:r>
      <w:r w:rsidRPr="00817886">
        <w:rPr>
          <w:rFonts w:ascii="Times New Roman" w:eastAsia="Times New Roman" w:hAnsi="Times New Roman"/>
          <w:i/>
          <w:sz w:val="20"/>
          <w:szCs w:val="20"/>
          <w:lang w:eastAsia="ru-RU"/>
        </w:rPr>
        <w:t>Для оценки участников по критерию «цена за единицу продукции» Участник процедуры закупки указывает в заявке одинаковый размер (процент) снижения в отношении всех стоимостных величин единиц продукции.</w:t>
      </w:r>
    </w:p>
    <w:p w:rsidR="006F701C" w:rsidRPr="00817886" w:rsidRDefault="006F701C" w:rsidP="00F429CB">
      <w:pPr>
        <w:widowControl w:val="0"/>
        <w:spacing w:after="0"/>
        <w:ind w:left="993"/>
        <w:jc w:val="both"/>
        <w:rPr>
          <w:rFonts w:ascii="Times New Roman" w:eastAsia="Times New Roman" w:hAnsi="Times New Roman"/>
          <w:b/>
          <w:i/>
          <w:sz w:val="20"/>
          <w:szCs w:val="20"/>
          <w:lang w:eastAsia="ru-RU"/>
        </w:rPr>
      </w:pPr>
      <w:r w:rsidRPr="00817886">
        <w:rPr>
          <w:rFonts w:ascii="Times New Roman" w:eastAsia="Calibri" w:hAnsi="Times New Roman"/>
          <w:b/>
          <w:i/>
          <w:sz w:val="20"/>
          <w:szCs w:val="20"/>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737325" w:rsidRPr="00277040" w:rsidRDefault="00737325" w:rsidP="00737325">
      <w:pPr>
        <w:spacing w:before="240"/>
        <w:ind w:left="993"/>
        <w:jc w:val="both"/>
        <w:rPr>
          <w:rFonts w:ascii="Times New Roman" w:hAnsi="Times New Roman"/>
          <w:b/>
          <w:sz w:val="24"/>
          <w:szCs w:val="24"/>
        </w:rPr>
      </w:pPr>
      <w:r w:rsidRPr="00277040">
        <w:rPr>
          <w:rFonts w:ascii="Times New Roman" w:hAnsi="Times New Roman"/>
          <w:b/>
          <w:sz w:val="24"/>
          <w:szCs w:val="24"/>
        </w:rPr>
        <w:t xml:space="preserve">ИТОГО </w:t>
      </w:r>
      <w:r w:rsidRPr="00277040">
        <w:rPr>
          <w:rFonts w:ascii="Times New Roman" w:eastAsia="Times New Roman" w:hAnsi="Times New Roman"/>
          <w:b/>
          <w:iCs/>
          <w:sz w:val="24"/>
          <w:szCs w:val="24"/>
          <w:lang w:eastAsia="ru-RU"/>
        </w:rPr>
        <w:t xml:space="preserve">размер (процент) снижения в отношении всех стоимостных величин единиц продукции (работ) </w:t>
      </w:r>
      <w:r w:rsidRPr="00277040">
        <w:rPr>
          <w:rFonts w:ascii="Times New Roman" w:hAnsi="Times New Roman"/>
          <w:b/>
          <w:sz w:val="24"/>
          <w:szCs w:val="24"/>
        </w:rPr>
        <w:t xml:space="preserve">составляет: ________________% </w:t>
      </w:r>
      <w:r w:rsidRPr="00277040">
        <w:rPr>
          <w:rFonts w:ascii="Times New Roman" w:hAnsi="Times New Roman"/>
          <w:i/>
          <w:sz w:val="24"/>
          <w:szCs w:val="24"/>
        </w:rPr>
        <w:t>(указать значение цифрами и прописью)</w:t>
      </w:r>
      <w:r w:rsidRPr="00277040">
        <w:rPr>
          <w:rFonts w:ascii="Times New Roman" w:hAnsi="Times New Roman"/>
          <w:b/>
          <w:sz w:val="24"/>
          <w:szCs w:val="24"/>
        </w:rPr>
        <w:t>.</w:t>
      </w:r>
    </w:p>
    <w:p w:rsidR="00737325" w:rsidRPr="00DE4F6E" w:rsidRDefault="00737325" w:rsidP="00737325">
      <w:pPr>
        <w:keepNext/>
        <w:spacing w:before="240" w:after="0" w:line="240" w:lineRule="auto"/>
        <w:ind w:left="993"/>
        <w:rPr>
          <w:rFonts w:ascii="Times New Roman" w:eastAsia="Calibri" w:hAnsi="Times New Roman"/>
          <w:b/>
          <w:sz w:val="20"/>
          <w:szCs w:val="20"/>
        </w:rPr>
      </w:pPr>
      <w:r w:rsidRPr="00DE4F6E">
        <w:rPr>
          <w:rFonts w:ascii="Times New Roman" w:eastAsia="Calibri" w:hAnsi="Times New Roman"/>
          <w:b/>
          <w:sz w:val="20"/>
          <w:szCs w:val="20"/>
        </w:rPr>
        <w:t xml:space="preserve">Основания освобождения от уплаты НДС: _____________________________________________ </w:t>
      </w:r>
      <w:r w:rsidRPr="00DE4F6E">
        <w:rPr>
          <w:rFonts w:ascii="Times New Roman" w:eastAsia="Calibri" w:hAnsi="Times New Roman"/>
          <w:i/>
          <w:sz w:val="20"/>
          <w:szCs w:val="20"/>
        </w:rPr>
        <w:t>(указывается по усмотрению участника закупки в случае освобождения от уплаты НДС)</w:t>
      </w:r>
    </w:p>
    <w:p w:rsidR="00737325" w:rsidRDefault="00737325" w:rsidP="00F429CB">
      <w:pPr>
        <w:widowControl w:val="0"/>
        <w:spacing w:after="0"/>
        <w:ind w:left="993"/>
        <w:jc w:val="both"/>
        <w:rPr>
          <w:rFonts w:ascii="Times New Roman" w:eastAsia="Times New Roman" w:hAnsi="Times New Roman"/>
          <w:i/>
          <w:sz w:val="20"/>
          <w:szCs w:val="20"/>
          <w:lang w:eastAsia="ru-RU"/>
        </w:rPr>
      </w:pPr>
    </w:p>
    <w:p w:rsidR="000C174F" w:rsidRDefault="00624A9C" w:rsidP="00F429CB">
      <w:pPr>
        <w:widowControl w:val="0"/>
        <w:pBdr>
          <w:bottom w:val="single" w:sz="12" w:space="1" w:color="auto"/>
        </w:pBdr>
        <w:spacing w:after="0"/>
        <w:ind w:left="993"/>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817886" w:rsidRPr="00817886" w:rsidRDefault="00817886" w:rsidP="00F429CB">
      <w:pPr>
        <w:widowControl w:val="0"/>
        <w:pBdr>
          <w:bottom w:val="single" w:sz="12" w:space="1" w:color="auto"/>
        </w:pBdr>
        <w:spacing w:after="0"/>
        <w:ind w:left="993"/>
        <w:jc w:val="both"/>
        <w:rPr>
          <w:rFonts w:ascii="Times New Roman" w:hAnsi="Times New Roman"/>
          <w:sz w:val="24"/>
          <w:szCs w:val="24"/>
          <w:shd w:val="clear" w:color="auto" w:fill="FFFFFF"/>
        </w:rPr>
      </w:pPr>
    </w:p>
    <w:p w:rsidR="00624A9C" w:rsidRPr="005A1E8C" w:rsidRDefault="000C174F" w:rsidP="00F429CB">
      <w:pPr>
        <w:keepNext/>
        <w:keepLines/>
        <w:suppressAutoHyphens/>
        <w:spacing w:after="0" w:line="240" w:lineRule="auto"/>
        <w:ind w:left="993"/>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 xml:space="preserve"> </w:t>
      </w:r>
      <w:r w:rsidR="00624A9C"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F429CB">
      <w:pPr>
        <w:keepNext/>
        <w:keepLines/>
        <w:suppressAutoHyphens/>
        <w:spacing w:after="0" w:line="240" w:lineRule="auto"/>
        <w:ind w:left="993"/>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DF3264" w:rsidRPr="00A9717D" w:rsidRDefault="00624A9C" w:rsidP="00F429CB">
      <w:pPr>
        <w:keepNext/>
        <w:keepLines/>
        <w:suppressAutoHyphens/>
        <w:spacing w:after="0" w:line="240" w:lineRule="auto"/>
        <w:ind w:left="993"/>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B09CC" w:rsidRDefault="007B09CC" w:rsidP="00F429CB">
      <w:pPr>
        <w:spacing w:before="480" w:after="240"/>
        <w:ind w:left="993"/>
        <w:rPr>
          <w:rFonts w:ascii="Times New Roman" w:hAnsi="Times New Roman"/>
          <w:b/>
          <w:iCs/>
          <w:snapToGrid w:val="0"/>
          <w:sz w:val="24"/>
          <w:szCs w:val="24"/>
        </w:rPr>
      </w:pPr>
    </w:p>
    <w:p w:rsidR="007B09CC" w:rsidRDefault="007B09CC" w:rsidP="00D51554">
      <w:pPr>
        <w:spacing w:before="480" w:after="240"/>
        <w:rPr>
          <w:rFonts w:ascii="Times New Roman" w:hAnsi="Times New Roman"/>
          <w:b/>
          <w:iCs/>
          <w:snapToGrid w:val="0"/>
          <w:sz w:val="24"/>
          <w:szCs w:val="24"/>
        </w:rPr>
        <w:sectPr w:rsidR="007B09CC" w:rsidSect="00F429CB">
          <w:footerReference w:type="default" r:id="rId18"/>
          <w:footerReference w:type="first" r:id="rId19"/>
          <w:pgSz w:w="11906" w:h="16838"/>
          <w:pgMar w:top="820" w:right="851" w:bottom="851" w:left="425" w:header="709" w:footer="289" w:gutter="0"/>
          <w:cols w:space="708"/>
          <w:titlePg/>
          <w:docGrid w:linePitch="381"/>
        </w:sectPr>
      </w:pPr>
    </w:p>
    <w:p w:rsidR="00FD7D0D" w:rsidRDefault="00FD7D0D" w:rsidP="00644F42">
      <w:pPr>
        <w:tabs>
          <w:tab w:val="left" w:pos="1700"/>
        </w:tabs>
        <w:autoSpaceDE w:val="0"/>
        <w:autoSpaceDN w:val="0"/>
        <w:adjustRightInd w:val="0"/>
        <w:spacing w:after="0" w:line="240" w:lineRule="auto"/>
        <w:jc w:val="right"/>
        <w:rPr>
          <w:rFonts w:ascii="Times New Roman" w:eastAsia="Times New Roman" w:hAnsi="Times New Roman"/>
          <w:b/>
          <w:sz w:val="24"/>
          <w:szCs w:val="24"/>
          <w:lang w:val="ru" w:eastAsia="ru-RU"/>
        </w:rPr>
      </w:pPr>
      <w:r>
        <w:rPr>
          <w:rFonts w:ascii="Times New Roman" w:hAnsi="Times New Roman"/>
          <w:b/>
          <w:sz w:val="18"/>
          <w:szCs w:val="18"/>
        </w:rPr>
        <w:lastRenderedPageBreak/>
        <w:tab/>
      </w: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0"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820" w:rsidRDefault="00E06820" w:rsidP="00BE4551">
      <w:pPr>
        <w:spacing w:after="0" w:line="240" w:lineRule="auto"/>
      </w:pPr>
      <w:r>
        <w:separator/>
      </w:r>
    </w:p>
  </w:endnote>
  <w:endnote w:type="continuationSeparator" w:id="0">
    <w:p w:rsidR="00E06820" w:rsidRDefault="00E06820" w:rsidP="00BE4551">
      <w:pPr>
        <w:spacing w:after="0" w:line="240" w:lineRule="auto"/>
      </w:pPr>
      <w:r>
        <w:continuationSeparator/>
      </w:r>
    </w:p>
  </w:endnote>
  <w:endnote w:type="continuationNotice" w:id="1">
    <w:p w:rsidR="00E06820" w:rsidRDefault="00E068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E8747E" w:rsidRDefault="00E8747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E8747E" w:rsidRDefault="00E8747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47E" w:rsidRPr="0032691D" w:rsidRDefault="00E8747E"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E8747E" w:rsidRDefault="00E8747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201A4C">
              <w:rPr>
                <w:rFonts w:ascii="Times New Roman" w:hAnsi="Times New Roman"/>
                <w:bCs/>
                <w:noProof/>
                <w:sz w:val="24"/>
                <w:szCs w:val="24"/>
              </w:rPr>
              <w:t>4</w:t>
            </w:r>
            <w:r w:rsidRPr="00E36F9A">
              <w:rPr>
                <w:rFonts w:ascii="Times New Roman" w:hAnsi="Times New Roman"/>
                <w:bCs/>
                <w:sz w:val="24"/>
                <w:szCs w:val="24"/>
              </w:rPr>
              <w:fldChar w:fldCharType="end"/>
            </w:r>
          </w:p>
        </w:sdtContent>
      </w:sdt>
    </w:sdtContent>
  </w:sdt>
  <w:p w:rsidR="00E8747E" w:rsidRDefault="00E8747E"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47E" w:rsidRPr="0032691D" w:rsidRDefault="00E8747E"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E8747E" w:rsidRPr="00C408FB" w:rsidRDefault="00E8747E"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201A4C">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E8747E" w:rsidRPr="00CA0F23" w:rsidRDefault="00E8747E"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201A4C">
          <w:rPr>
            <w:rFonts w:ascii="Times New Roman" w:hAnsi="Times New Roman"/>
            <w:noProof/>
            <w:sz w:val="24"/>
            <w:szCs w:val="24"/>
          </w:rPr>
          <w:t>22</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47E" w:rsidRPr="0032691D" w:rsidRDefault="00E8747E"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820" w:rsidRDefault="00E06820" w:rsidP="00BE4551">
      <w:pPr>
        <w:spacing w:after="0" w:line="240" w:lineRule="auto"/>
      </w:pPr>
      <w:r>
        <w:separator/>
      </w:r>
    </w:p>
  </w:footnote>
  <w:footnote w:type="continuationSeparator" w:id="0">
    <w:p w:rsidR="00E06820" w:rsidRDefault="00E06820" w:rsidP="00BE4551">
      <w:pPr>
        <w:spacing w:after="0" w:line="240" w:lineRule="auto"/>
      </w:pPr>
      <w:r>
        <w:continuationSeparator/>
      </w:r>
    </w:p>
  </w:footnote>
  <w:footnote w:type="continuationNotice" w:id="1">
    <w:p w:rsidR="00E06820" w:rsidRDefault="00E06820">
      <w:pPr>
        <w:spacing w:after="0" w:line="240" w:lineRule="auto"/>
      </w:pPr>
    </w:p>
  </w:footnote>
  <w:footnote w:id="2">
    <w:p w:rsidR="00E8747E" w:rsidRDefault="00E8747E"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47E" w:rsidRPr="00A234A7" w:rsidRDefault="00E8747E"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6B7"/>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A47"/>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135"/>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77BC3"/>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74F"/>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009"/>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1DF7"/>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3F70"/>
    <w:rsid w:val="001F41B5"/>
    <w:rsid w:val="001F439E"/>
    <w:rsid w:val="001F4B49"/>
    <w:rsid w:val="001F4C21"/>
    <w:rsid w:val="001F5480"/>
    <w:rsid w:val="001F551E"/>
    <w:rsid w:val="001F5583"/>
    <w:rsid w:val="001F5F52"/>
    <w:rsid w:val="001F6275"/>
    <w:rsid w:val="001F700A"/>
    <w:rsid w:val="001F718B"/>
    <w:rsid w:val="001F7A54"/>
    <w:rsid w:val="001F7A94"/>
    <w:rsid w:val="001F7C00"/>
    <w:rsid w:val="001F7FEF"/>
    <w:rsid w:val="002000BE"/>
    <w:rsid w:val="002001E1"/>
    <w:rsid w:val="00200613"/>
    <w:rsid w:val="00200770"/>
    <w:rsid w:val="00201306"/>
    <w:rsid w:val="00201355"/>
    <w:rsid w:val="00201612"/>
    <w:rsid w:val="00201646"/>
    <w:rsid w:val="00201A4C"/>
    <w:rsid w:val="00201C97"/>
    <w:rsid w:val="00201FA4"/>
    <w:rsid w:val="00202121"/>
    <w:rsid w:val="00202333"/>
    <w:rsid w:val="002026EA"/>
    <w:rsid w:val="00202718"/>
    <w:rsid w:val="0020271D"/>
    <w:rsid w:val="002028C6"/>
    <w:rsid w:val="00202B48"/>
    <w:rsid w:val="00202F37"/>
    <w:rsid w:val="00203807"/>
    <w:rsid w:val="00204563"/>
    <w:rsid w:val="00204916"/>
    <w:rsid w:val="00204A31"/>
    <w:rsid w:val="00204B8F"/>
    <w:rsid w:val="00204F1F"/>
    <w:rsid w:val="00205075"/>
    <w:rsid w:val="002051C7"/>
    <w:rsid w:val="00205752"/>
    <w:rsid w:val="00205E61"/>
    <w:rsid w:val="00205E85"/>
    <w:rsid w:val="002064B6"/>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430"/>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171"/>
    <w:rsid w:val="0027529A"/>
    <w:rsid w:val="002755C9"/>
    <w:rsid w:val="00275B44"/>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AED"/>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C77FB"/>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1A3"/>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0EF4"/>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0E4"/>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6B1"/>
    <w:rsid w:val="00594761"/>
    <w:rsid w:val="00595337"/>
    <w:rsid w:val="00596D97"/>
    <w:rsid w:val="00597215"/>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1A7"/>
    <w:rsid w:val="005C1413"/>
    <w:rsid w:val="005C14C7"/>
    <w:rsid w:val="005C1647"/>
    <w:rsid w:val="005C17BB"/>
    <w:rsid w:val="005C17DD"/>
    <w:rsid w:val="005C1A92"/>
    <w:rsid w:val="005C1C78"/>
    <w:rsid w:val="005C1E6D"/>
    <w:rsid w:val="005C2549"/>
    <w:rsid w:val="005C2D4B"/>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761"/>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65CA"/>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4F42"/>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674A"/>
    <w:rsid w:val="006671CE"/>
    <w:rsid w:val="0066721D"/>
    <w:rsid w:val="006677F4"/>
    <w:rsid w:val="00667A9A"/>
    <w:rsid w:val="00667D19"/>
    <w:rsid w:val="00670852"/>
    <w:rsid w:val="0067098D"/>
    <w:rsid w:val="00670AEE"/>
    <w:rsid w:val="00670E87"/>
    <w:rsid w:val="00670F70"/>
    <w:rsid w:val="00671795"/>
    <w:rsid w:val="006719C8"/>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2D64"/>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01C"/>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325"/>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3CE6"/>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001"/>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93E"/>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0D5"/>
    <w:rsid w:val="008072C2"/>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86"/>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085"/>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7AF"/>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1C54"/>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A1F"/>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B43"/>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9F8"/>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2C2C"/>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87"/>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483"/>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03F"/>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C69"/>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6759"/>
    <w:rsid w:val="00CE70C9"/>
    <w:rsid w:val="00CE73A1"/>
    <w:rsid w:val="00CE7A39"/>
    <w:rsid w:val="00CE7F8E"/>
    <w:rsid w:val="00CF06A9"/>
    <w:rsid w:val="00CF15FE"/>
    <w:rsid w:val="00CF1803"/>
    <w:rsid w:val="00CF1AE6"/>
    <w:rsid w:val="00CF1D26"/>
    <w:rsid w:val="00CF2335"/>
    <w:rsid w:val="00CF295A"/>
    <w:rsid w:val="00CF3034"/>
    <w:rsid w:val="00CF3448"/>
    <w:rsid w:val="00CF375A"/>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D89"/>
    <w:rsid w:val="00D80E78"/>
    <w:rsid w:val="00D817B1"/>
    <w:rsid w:val="00D81DB5"/>
    <w:rsid w:val="00D81EA3"/>
    <w:rsid w:val="00D820D5"/>
    <w:rsid w:val="00D82635"/>
    <w:rsid w:val="00D82986"/>
    <w:rsid w:val="00D82ED9"/>
    <w:rsid w:val="00D83819"/>
    <w:rsid w:val="00D83C34"/>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C7F16"/>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20"/>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8D2"/>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4E2F"/>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47E"/>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B60"/>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3D"/>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0DFC"/>
    <w:rsid w:val="00F1120F"/>
    <w:rsid w:val="00F11383"/>
    <w:rsid w:val="00F116C0"/>
    <w:rsid w:val="00F11AFC"/>
    <w:rsid w:val="00F11BE6"/>
    <w:rsid w:val="00F11D5E"/>
    <w:rsid w:val="00F11F29"/>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9CB"/>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69E"/>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4B"/>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D0D"/>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8D"/>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E495971"/>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peal@roscosmos.ru" TargetMode="Externa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tp.gpb.r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consultant.ru/document/cons_doc_LAW_157512/?dst=2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2124F-CF0A-4860-A5DF-D1BA2F3DE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33</Pages>
  <Words>12988</Words>
  <Characters>74038</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86853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В.О.</cp:lastModifiedBy>
  <cp:revision>36</cp:revision>
  <cp:lastPrinted>2024-02-28T04:08:00Z</cp:lastPrinted>
  <dcterms:created xsi:type="dcterms:W3CDTF">2024-02-16T06:03:00Z</dcterms:created>
  <dcterms:modified xsi:type="dcterms:W3CDTF">2024-02-28T10:43:00Z</dcterms:modified>
</cp:coreProperties>
</file>