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C3189">
              <w:rPr>
                <w:bCs/>
                <w:sz w:val="24"/>
                <w:szCs w:val="24"/>
              </w:rPr>
              <w:t>19</w:t>
            </w:r>
            <w:r w:rsidR="006D5F11">
              <w:rPr>
                <w:bCs/>
                <w:sz w:val="24"/>
                <w:szCs w:val="24"/>
              </w:rPr>
              <w:t>.</w:t>
            </w:r>
            <w:r w:rsidR="008C2D35">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36234C">
            <w:pPr>
              <w:rPr>
                <w:sz w:val="24"/>
                <w:szCs w:val="24"/>
              </w:rPr>
            </w:pPr>
            <w:r w:rsidRPr="002E45CD">
              <w:rPr>
                <w:sz w:val="28"/>
                <w:szCs w:val="28"/>
              </w:rPr>
              <w:t xml:space="preserve">       </w:t>
            </w:r>
            <w:r w:rsidR="0036234C">
              <w:rPr>
                <w:sz w:val="28"/>
                <w:szCs w:val="28"/>
              </w:rPr>
              <w:t xml:space="preserve">                            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36234C">
        <w:rPr>
          <w:rFonts w:ascii="Times New Roman" w:hAnsi="Times New Roman"/>
          <w:sz w:val="32"/>
          <w:szCs w:val="32"/>
        </w:rPr>
        <w:t>светильника светодиодного</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AC3189" w:rsidRDefault="00AC3189"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Pr="00592504" w:rsidRDefault="0040453B" w:rsidP="007A7A22">
      <w:pPr>
        <w:suppressAutoHyphens/>
        <w:spacing w:before="240" w:after="0"/>
        <w:jc w:val="center"/>
        <w:rPr>
          <w:rFonts w:ascii="Times New Roman" w:eastAsia="Times New Roman" w:hAnsi="Times New Roman"/>
          <w:sz w:val="24"/>
          <w:szCs w:val="24"/>
          <w:lang w:eastAsia="ru-RU"/>
        </w:rPr>
        <w:sectPr w:rsidR="0040453B"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36234C">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36234C">
              <w:rPr>
                <w:rFonts w:ascii="Times New Roman" w:hAnsi="Times New Roman"/>
                <w:sz w:val="24"/>
                <w:szCs w:val="24"/>
              </w:rPr>
              <w:t>светильника светодиодного</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36234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36234C">
              <w:rPr>
                <w:rFonts w:ascii="Times New Roman" w:hAnsi="Times New Roman"/>
                <w:bCs/>
                <w:sz w:val="24"/>
                <w:szCs w:val="24"/>
              </w:rPr>
              <w:t>471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C2D35" w:rsidRPr="007C15EF" w:rsidRDefault="008C2D35" w:rsidP="008C2D3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C2D35" w:rsidP="008C2D35">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C2D35" w:rsidRDefault="0036234C" w:rsidP="0036234C">
            <w:pPr>
              <w:spacing w:after="0" w:line="240" w:lineRule="auto"/>
              <w:ind w:firstLine="4"/>
              <w:jc w:val="both"/>
              <w:rPr>
                <w:rFonts w:ascii="Times New Roman" w:hAnsi="Times New Roman"/>
                <w:sz w:val="24"/>
                <w:szCs w:val="24"/>
              </w:rPr>
            </w:pPr>
            <w:r>
              <w:rPr>
                <w:rFonts w:ascii="Times New Roman" w:hAnsi="Times New Roman"/>
                <w:sz w:val="24"/>
                <w:szCs w:val="24"/>
              </w:rPr>
              <w:t>211 297</w:t>
            </w:r>
            <w:r w:rsidRPr="0036234C">
              <w:rPr>
                <w:rFonts w:ascii="Times New Roman" w:hAnsi="Times New Roman"/>
                <w:sz w:val="24"/>
                <w:szCs w:val="24"/>
              </w:rPr>
              <w:t xml:space="preserve"> </w:t>
            </w:r>
            <w:r w:rsidR="008C2D35">
              <w:rPr>
                <w:rFonts w:ascii="Times New Roman" w:hAnsi="Times New Roman"/>
                <w:sz w:val="24"/>
                <w:szCs w:val="24"/>
              </w:rPr>
              <w:t xml:space="preserve">(Двести </w:t>
            </w:r>
            <w:r>
              <w:rPr>
                <w:rFonts w:ascii="Times New Roman" w:hAnsi="Times New Roman"/>
                <w:sz w:val="24"/>
                <w:szCs w:val="24"/>
              </w:rPr>
              <w:t>одиннадцать тысяч двести девяносто семь</w:t>
            </w:r>
            <w:r w:rsidR="008C2D35">
              <w:rPr>
                <w:rFonts w:ascii="Times New Roman" w:hAnsi="Times New Roman"/>
                <w:sz w:val="24"/>
                <w:szCs w:val="24"/>
              </w:rPr>
              <w:t xml:space="preserve">) рублей </w:t>
            </w:r>
            <w:r>
              <w:rPr>
                <w:rFonts w:ascii="Times New Roman" w:hAnsi="Times New Roman"/>
                <w:sz w:val="24"/>
                <w:szCs w:val="24"/>
              </w:rPr>
              <w:t>20</w:t>
            </w:r>
            <w:r w:rsidR="008C2D35">
              <w:rPr>
                <w:rFonts w:ascii="Times New Roman" w:hAnsi="Times New Roman"/>
                <w:sz w:val="24"/>
                <w:szCs w:val="24"/>
              </w:rPr>
              <w:t xml:space="preserve"> копеек, в </w:t>
            </w:r>
            <w:proofErr w:type="spellStart"/>
            <w:r w:rsidR="008C2D35">
              <w:rPr>
                <w:rFonts w:ascii="Times New Roman" w:hAnsi="Times New Roman"/>
                <w:sz w:val="24"/>
                <w:szCs w:val="24"/>
              </w:rPr>
              <w:t>т.ч</w:t>
            </w:r>
            <w:proofErr w:type="spellEnd"/>
            <w:r w:rsidR="008C2D35">
              <w:rPr>
                <w:rFonts w:ascii="Times New Roman" w:hAnsi="Times New Roman"/>
                <w:sz w:val="24"/>
                <w:szCs w:val="24"/>
              </w:rPr>
              <w:t>.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C3189">
              <w:rPr>
                <w:rFonts w:ascii="Times New Roman" w:hAnsi="Times New Roman"/>
                <w:bCs/>
                <w:sz w:val="24"/>
                <w:szCs w:val="24"/>
              </w:rPr>
              <w:t>22</w:t>
            </w:r>
            <w:r w:rsidR="00A9692C">
              <w:rPr>
                <w:rFonts w:ascii="Times New Roman" w:hAnsi="Times New Roman"/>
                <w:bCs/>
                <w:sz w:val="24"/>
                <w:szCs w:val="24"/>
              </w:rPr>
              <w:t xml:space="preserve">» </w:t>
            </w:r>
            <w:r w:rsidR="00AC3189">
              <w:rPr>
                <w:rFonts w:ascii="Times New Roman" w:hAnsi="Times New Roman"/>
                <w:bCs/>
                <w:sz w:val="24"/>
                <w:szCs w:val="24"/>
              </w:rPr>
              <w:t>декабря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C3189">
            <w:pPr>
              <w:pStyle w:val="afffff6"/>
              <w:rPr>
                <w:rFonts w:ascii="Times New Roman" w:hAnsi="Times New Roman"/>
                <w:bCs/>
                <w:sz w:val="24"/>
                <w:szCs w:val="24"/>
              </w:rPr>
            </w:pPr>
            <w:r w:rsidRPr="00A505AA">
              <w:rPr>
                <w:rFonts w:ascii="Times New Roman" w:hAnsi="Times New Roman"/>
                <w:bCs/>
                <w:spacing w:val="-6"/>
                <w:sz w:val="24"/>
                <w:szCs w:val="24"/>
              </w:rPr>
              <w:t>«</w:t>
            </w:r>
            <w:r w:rsidR="00AC3189">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AC3189">
              <w:rPr>
                <w:rFonts w:ascii="Times New Roman" w:hAnsi="Times New Roman"/>
                <w:bCs/>
                <w:sz w:val="24"/>
                <w:szCs w:val="24"/>
              </w:rPr>
              <w:t>декабря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C3189">
            <w:pPr>
              <w:pStyle w:val="afffff6"/>
              <w:rPr>
                <w:rFonts w:ascii="Times New Roman" w:hAnsi="Times New Roman"/>
                <w:bCs/>
                <w:sz w:val="24"/>
                <w:szCs w:val="24"/>
              </w:rPr>
            </w:pPr>
            <w:r w:rsidRPr="00A505AA">
              <w:rPr>
                <w:rFonts w:ascii="Times New Roman" w:hAnsi="Times New Roman"/>
                <w:bCs/>
                <w:spacing w:val="-6"/>
                <w:sz w:val="24"/>
                <w:szCs w:val="24"/>
              </w:rPr>
              <w:t>«</w:t>
            </w:r>
            <w:r w:rsidR="00AC3189">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AC3189">
              <w:rPr>
                <w:rFonts w:ascii="Times New Roman" w:hAnsi="Times New Roman"/>
                <w:bCs/>
                <w:sz w:val="24"/>
                <w:szCs w:val="24"/>
              </w:rPr>
              <w:t>декабря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6234C"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30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C2D35">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8C2D35">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8C2D35">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6234C" w:rsidRDefault="0036234C" w:rsidP="00624A9C">
      <w:pPr>
        <w:autoSpaceDE w:val="0"/>
        <w:autoSpaceDN w:val="0"/>
        <w:adjustRightInd w:val="0"/>
        <w:spacing w:after="0" w:line="240" w:lineRule="auto"/>
        <w:jc w:val="both"/>
        <w:rPr>
          <w:rFonts w:ascii="Times New Roman" w:hAnsi="Times New Roman"/>
          <w:sz w:val="20"/>
          <w:szCs w:val="20"/>
        </w:rPr>
      </w:pP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842"/>
        <w:gridCol w:w="851"/>
        <w:gridCol w:w="1134"/>
        <w:gridCol w:w="1134"/>
      </w:tblGrid>
      <w:tr w:rsidR="00FF63E5" w:rsidRPr="00B1459E" w:rsidTr="0036234C">
        <w:trPr>
          <w:trHeight w:val="315"/>
        </w:trPr>
        <w:tc>
          <w:tcPr>
            <w:tcW w:w="724"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8C2D35">
            <w:pPr>
              <w:spacing w:after="0" w:line="240" w:lineRule="auto"/>
              <w:jc w:val="center"/>
              <w:rPr>
                <w:rFonts w:ascii="Times New Roman" w:eastAsia="Calibri" w:hAnsi="Times New Roman"/>
                <w:b/>
                <w:sz w:val="22"/>
                <w:szCs w:val="22"/>
                <w:lang w:eastAsia="ru-RU"/>
              </w:rPr>
            </w:pPr>
          </w:p>
        </w:tc>
        <w:tc>
          <w:tcPr>
            <w:tcW w:w="340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sidR="008C2D35">
              <w:rPr>
                <w:rFonts w:ascii="Times New Roman" w:eastAsia="Calibri" w:hAnsi="Times New Roman"/>
                <w:b/>
                <w:bCs/>
                <w:sz w:val="22"/>
                <w:szCs w:val="22"/>
              </w:rPr>
              <w:t xml:space="preserve"> </w:t>
            </w:r>
          </w:p>
          <w:p w:rsidR="00FF63E5" w:rsidRPr="00B1459E" w:rsidRDefault="00FF63E5" w:rsidP="008C2D35">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36234C">
        <w:trPr>
          <w:trHeight w:val="315"/>
        </w:trPr>
        <w:tc>
          <w:tcPr>
            <w:tcW w:w="724"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F63E5" w:rsidRPr="00775275" w:rsidRDefault="00FF63E5" w:rsidP="008C2D35">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F63E5" w:rsidRPr="00F6582F" w:rsidTr="0036234C">
        <w:trPr>
          <w:trHeight w:val="3548"/>
        </w:trPr>
        <w:tc>
          <w:tcPr>
            <w:tcW w:w="724" w:type="dxa"/>
            <w:shd w:val="clear" w:color="auto" w:fill="auto"/>
            <w:noWrap/>
            <w:vAlign w:val="center"/>
          </w:tcPr>
          <w:p w:rsidR="00FF63E5" w:rsidRDefault="00FF63E5" w:rsidP="008C2D3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F63E5" w:rsidRPr="00775275" w:rsidRDefault="00FF63E5" w:rsidP="008C2D3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F63E5" w:rsidRPr="00775275" w:rsidRDefault="00FF63E5"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FF63E5" w:rsidTr="00AE077A">
              <w:tc>
                <w:tcPr>
                  <w:tcW w:w="2152"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Tr="00AE077A">
              <w:tc>
                <w:tcPr>
                  <w:tcW w:w="2152"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775275" w:rsidRDefault="00FF63E5" w:rsidP="008C2D35">
            <w:pPr>
              <w:spacing w:after="0" w:line="240" w:lineRule="auto"/>
              <w:jc w:val="center"/>
              <w:rPr>
                <w:rFonts w:ascii="Times New Roman" w:eastAsia="Calibri" w:hAnsi="Times New Roman"/>
                <w:b/>
                <w:bCs/>
                <w:sz w:val="24"/>
                <w:szCs w:val="24"/>
              </w:rPr>
            </w:pP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p>
        </w:tc>
        <w:tc>
          <w:tcPr>
            <w:tcW w:w="1842" w:type="dxa"/>
          </w:tcPr>
          <w:p w:rsidR="00FF63E5" w:rsidRDefault="00FF63E5" w:rsidP="008C2D35">
            <w:pPr>
              <w:spacing w:after="0" w:line="240" w:lineRule="auto"/>
              <w:jc w:val="center"/>
              <w:rPr>
                <w:rFonts w:ascii="Times New Roman" w:eastAsia="Calibri" w:hAnsi="Times New Roman"/>
                <w:b/>
                <w:bCs/>
                <w:sz w:val="24"/>
                <w:szCs w:val="24"/>
              </w:rPr>
            </w:pPr>
          </w:p>
        </w:tc>
        <w:tc>
          <w:tcPr>
            <w:tcW w:w="851" w:type="dxa"/>
          </w:tcPr>
          <w:p w:rsidR="00FF63E5" w:rsidRDefault="0036234C"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30 штук</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Pr="008A54E8" w:rsidRDefault="00FF63E5" w:rsidP="00FF63E5">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формы</w:t>
      </w:r>
      <w:r w:rsidR="0036234C">
        <w:rPr>
          <w:rFonts w:ascii="Times New Roman" w:eastAsia="Calibri" w:hAnsi="Times New Roman"/>
          <w:b/>
          <w:i/>
          <w:sz w:val="22"/>
          <w:szCs w:val="22"/>
        </w:rPr>
        <w:t xml:space="preserve"> таблицы 1</w:t>
      </w:r>
      <w:r>
        <w:rPr>
          <w:rFonts w:ascii="Times New Roman" w:eastAsia="Calibri" w:hAnsi="Times New Roman"/>
          <w:b/>
          <w:i/>
          <w:sz w:val="22"/>
          <w:szCs w:val="22"/>
        </w:rPr>
        <w:t xml:space="preserve">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w:t>
      </w:r>
      <w:proofErr w:type="gramStart"/>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 xml:space="preserve">одпись)   </w:t>
      </w:r>
      <w:proofErr w:type="gramEnd"/>
      <w:r w:rsidRPr="005A1E8C">
        <w:rPr>
          <w:rFonts w:ascii="Times New Roman" w:eastAsia="Times New Roman" w:hAnsi="Times New Roman"/>
          <w:sz w:val="20"/>
          <w:szCs w:val="20"/>
          <w:shd w:val="clear" w:color="auto" w:fill="FFFFFF"/>
          <w:lang w:eastAsia="ru-RU"/>
        </w:rPr>
        <w:t xml:space="preserve">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E00" w:rsidRDefault="00352E00" w:rsidP="00BE4551">
      <w:pPr>
        <w:spacing w:after="0" w:line="240" w:lineRule="auto"/>
      </w:pPr>
      <w:r>
        <w:separator/>
      </w:r>
    </w:p>
  </w:endnote>
  <w:endnote w:type="continuationSeparator" w:id="0">
    <w:p w:rsidR="00352E00" w:rsidRDefault="00352E00" w:rsidP="00BE4551">
      <w:pPr>
        <w:spacing w:after="0" w:line="240" w:lineRule="auto"/>
      </w:pPr>
      <w:r>
        <w:continuationSeparator/>
      </w:r>
    </w:p>
  </w:endnote>
  <w:endnote w:type="continuationNotice" w:id="1">
    <w:p w:rsidR="00352E00" w:rsidRDefault="00352E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6234C" w:rsidRDefault="0036234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C3189">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6234C" w:rsidRDefault="0036234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4C" w:rsidRPr="0032691D" w:rsidRDefault="0036234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6234C" w:rsidRDefault="0036234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C3189">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36234C" w:rsidRDefault="0036234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4C" w:rsidRPr="0032691D" w:rsidRDefault="0036234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6234C" w:rsidRPr="00C408FB" w:rsidRDefault="0036234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C3189">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36234C" w:rsidRPr="00CA0F23" w:rsidRDefault="0036234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C3189">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4C" w:rsidRPr="0032691D" w:rsidRDefault="0036234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E00" w:rsidRDefault="00352E00" w:rsidP="00BE4551">
      <w:pPr>
        <w:spacing w:after="0" w:line="240" w:lineRule="auto"/>
      </w:pPr>
      <w:r>
        <w:separator/>
      </w:r>
    </w:p>
  </w:footnote>
  <w:footnote w:type="continuationSeparator" w:id="0">
    <w:p w:rsidR="00352E00" w:rsidRDefault="00352E00" w:rsidP="00BE4551">
      <w:pPr>
        <w:spacing w:after="0" w:line="240" w:lineRule="auto"/>
      </w:pPr>
      <w:r>
        <w:continuationSeparator/>
      </w:r>
    </w:p>
  </w:footnote>
  <w:footnote w:type="continuationNotice" w:id="1">
    <w:p w:rsidR="00352E00" w:rsidRDefault="00352E00">
      <w:pPr>
        <w:spacing w:after="0" w:line="240" w:lineRule="auto"/>
      </w:pPr>
    </w:p>
  </w:footnote>
  <w:footnote w:id="2">
    <w:p w:rsidR="0036234C" w:rsidRDefault="0036234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4C" w:rsidRPr="00A234A7" w:rsidRDefault="0036234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075"/>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00"/>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34C"/>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53B"/>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8E"/>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A87"/>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27D6B"/>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D35"/>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C5C"/>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89"/>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7A"/>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0FAB"/>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6BF8D9"/>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5AB43-536C-4AF0-9F67-6E5F14107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1</Pages>
  <Words>13042</Words>
  <Characters>74346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82</cp:revision>
  <cp:lastPrinted>2022-10-20T10:10:00Z</cp:lastPrinted>
  <dcterms:created xsi:type="dcterms:W3CDTF">2022-10-13T07:14:00Z</dcterms:created>
  <dcterms:modified xsi:type="dcterms:W3CDTF">2023-12-19T10:03:00Z</dcterms:modified>
</cp:coreProperties>
</file>