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7A4285">
        <w:rPr>
          <w:sz w:val="21"/>
          <w:szCs w:val="21"/>
          <w:lang w:eastAsia="en-US"/>
        </w:rPr>
        <w:t>измерительного</w:t>
      </w:r>
      <w:r w:rsidR="00C162A9">
        <w:rPr>
          <w:sz w:val="21"/>
          <w:szCs w:val="21"/>
          <w:lang w:eastAsia="en-US"/>
        </w:rPr>
        <w:t xml:space="preserve"> оборудования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A57A3F">
              <w:rPr>
                <w:kern w:val="28"/>
                <w:sz w:val="21"/>
                <w:szCs w:val="21"/>
              </w:rPr>
              <w:t>измерительного оборудования</w:t>
            </w:r>
            <w:r w:rsidR="0017343F">
              <w:rPr>
                <w:kern w:val="28"/>
                <w:sz w:val="21"/>
                <w:szCs w:val="21"/>
              </w:rPr>
              <w:t xml:space="preserve">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Default="00880F62" w:rsidP="006D5C8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proofErr w:type="gramStart"/>
            <w:r w:rsidR="00A57A3F">
              <w:rPr>
                <w:kern w:val="28"/>
                <w:sz w:val="21"/>
                <w:szCs w:val="21"/>
              </w:rPr>
              <w:t>6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  <w:proofErr w:type="gramEnd"/>
          </w:p>
          <w:p w:rsidR="007A4285" w:rsidRPr="00CE38D2" w:rsidRDefault="007A4285" w:rsidP="006D5C8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7A4285">
              <w:rPr>
                <w:sz w:val="21"/>
                <w:szCs w:val="21"/>
              </w:rPr>
              <w:t>Эквивалент не допускается п. 10.3.4(а) Положение о закупке согласно конструкторской документации Заказчика</w:t>
            </w:r>
            <w:r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6D5C85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течение </w:t>
            </w:r>
            <w:r w:rsidR="006D5C85">
              <w:rPr>
                <w:sz w:val="21"/>
                <w:szCs w:val="21"/>
              </w:rPr>
              <w:t>30 календарных</w:t>
            </w:r>
            <w:r w:rsidR="003124AF" w:rsidRPr="003124AF">
              <w:rPr>
                <w:sz w:val="21"/>
                <w:szCs w:val="21"/>
              </w:rPr>
              <w:t xml:space="preserve">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A4353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A4353">
              <w:t xml:space="preserve">    </w:t>
            </w:r>
            <w:r w:rsidRPr="005A4353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5A4353">
              <w:rPr>
                <w:sz w:val="21"/>
                <w:szCs w:val="21"/>
              </w:rPr>
              <w:t>.</w:t>
            </w:r>
          </w:p>
          <w:p w:rsidR="00F001D1" w:rsidRPr="005A4353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A4353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A4353">
              <w:rPr>
                <w:sz w:val="21"/>
                <w:szCs w:val="21"/>
              </w:rPr>
              <w:t>во которой не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 xml:space="preserve">проекту </w:t>
            </w:r>
            <w:r w:rsidRPr="005A4353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 w:rsidRPr="005A4353">
              <w:rPr>
                <w:sz w:val="21"/>
                <w:szCs w:val="21"/>
              </w:rPr>
              <w:t>ество которой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>Проекта договора</w:t>
            </w:r>
            <w:r w:rsidRPr="005A4353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A4353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A4353">
              <w:rPr>
                <w:spacing w:val="-1"/>
                <w:sz w:val="21"/>
                <w:szCs w:val="21"/>
              </w:rPr>
              <w:lastRenderedPageBreak/>
              <w:t xml:space="preserve">Заказчик проводит </w:t>
            </w:r>
            <w:r w:rsidR="00D35FA1" w:rsidRPr="005A4353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A4353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 w:rsidRPr="005A4353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A4353">
              <w:rPr>
                <w:spacing w:val="-1"/>
                <w:sz w:val="21"/>
                <w:szCs w:val="21"/>
              </w:rPr>
              <w:t>.65г. №П-6.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A4353">
              <w:rPr>
                <w:spacing w:val="-1"/>
                <w:sz w:val="21"/>
                <w:szCs w:val="21"/>
              </w:rPr>
              <w:t>П-7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A4353">
              <w:rPr>
                <w:rFonts w:eastAsiaTheme="minorHAnsi"/>
                <w:sz w:val="20"/>
                <w:szCs w:val="20"/>
                <w:lang w:eastAsia="en-US"/>
              </w:rPr>
              <w:t>25 апреля 1966 г.</w:t>
            </w:r>
            <w:r w:rsidR="003A1A24" w:rsidRPr="005A4353">
              <w:rPr>
                <w:rFonts w:eastAsiaTheme="minorHAnsi"/>
                <w:sz w:val="20"/>
                <w:szCs w:val="20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7A4285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 xml:space="preserve">В соответствии с Приложением №1 к Техническому заданию. 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W w:w="9947" w:type="dxa"/>
        <w:tblInd w:w="113" w:type="dxa"/>
        <w:tblLook w:val="04A0" w:firstRow="1" w:lastRow="0" w:firstColumn="1" w:lastColumn="0" w:noHBand="0" w:noVBand="1"/>
      </w:tblPr>
      <w:tblGrid>
        <w:gridCol w:w="693"/>
        <w:gridCol w:w="3221"/>
        <w:gridCol w:w="865"/>
        <w:gridCol w:w="1129"/>
        <w:gridCol w:w="4039"/>
      </w:tblGrid>
      <w:tr w:rsidR="006D5C85" w:rsidRPr="00DA37EB" w:rsidTr="006D5C85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E66D3">
              <w:rPr>
                <w:b/>
                <w:color w:val="000000"/>
                <w:sz w:val="20"/>
                <w:szCs w:val="20"/>
              </w:rPr>
              <w:t>Ед</w:t>
            </w:r>
            <w:proofErr w:type="spellEnd"/>
            <w:r w:rsidRPr="00CE66D3">
              <w:rPr>
                <w:b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C85" w:rsidRPr="00CE66D3" w:rsidRDefault="006D5C85" w:rsidP="00CF272D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 w:rsidRPr="00CE66D3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283C29" w:rsidRPr="00DA37EB" w:rsidTr="00BC2D3C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3C29" w:rsidRPr="006B3EA4" w:rsidRDefault="00283C29" w:rsidP="00283C29">
            <w:r w:rsidRPr="006B3EA4">
              <w:t>Осциллограф АКИП-4129А АКИП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  <w:tr w:rsidR="00283C29" w:rsidRPr="00DA37EB" w:rsidTr="006D5C85">
        <w:trPr>
          <w:trHeight w:val="92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C29" w:rsidRPr="006B3EA4" w:rsidRDefault="00283C29" w:rsidP="00283C29">
            <w:r w:rsidRPr="006B3EA4">
              <w:t>Измеритель RLC АКИП-6108 АКИП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  <w:tr w:rsidR="00283C29" w:rsidRPr="00DA37EB" w:rsidTr="006D5C85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C29" w:rsidRPr="006B3EA4" w:rsidRDefault="00283C29" w:rsidP="00283C29">
            <w:proofErr w:type="spellStart"/>
            <w:r w:rsidRPr="006B3EA4">
              <w:t>Мультиметр</w:t>
            </w:r>
            <w:proofErr w:type="spellEnd"/>
            <w:r w:rsidRPr="006B3EA4">
              <w:t xml:space="preserve"> цифровой DT-9918T СЕМ ТЕСТ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  <w:tr w:rsidR="00283C29" w:rsidRPr="00DA37EB" w:rsidTr="006D5C85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C29" w:rsidRPr="006B3EA4" w:rsidRDefault="00283C29" w:rsidP="00283C29">
            <w:r w:rsidRPr="006B3EA4">
              <w:t>Нагрузка электронная АКИП-1380 с опцией RS-232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  <w:tr w:rsidR="00283C29" w:rsidRPr="00DA37EB" w:rsidTr="006D5C85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C29" w:rsidRPr="006B3EA4" w:rsidRDefault="00283C29" w:rsidP="00283C29">
            <w:r w:rsidRPr="006B3EA4">
              <w:t>Генератор сигналов специальной формы АКИП-3407/1А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  <w:tr w:rsidR="00283C29" w:rsidRPr="00DA37EB" w:rsidTr="006D5C85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C29" w:rsidRPr="006B3EA4" w:rsidRDefault="00283C29" w:rsidP="00283C29">
            <w:pPr>
              <w:rPr>
                <w:i/>
                <w:lang w:val="en-US"/>
              </w:rPr>
            </w:pPr>
            <w:r w:rsidRPr="006B3EA4">
              <w:t>Источник</w:t>
            </w:r>
            <w:r w:rsidRPr="006B3EA4">
              <w:rPr>
                <w:lang w:val="en-US"/>
              </w:rPr>
              <w:t xml:space="preserve"> </w:t>
            </w:r>
            <w:r w:rsidRPr="006B3EA4">
              <w:t>питания</w:t>
            </w:r>
            <w:r w:rsidRPr="006B3EA4">
              <w:rPr>
                <w:lang w:val="en-US"/>
              </w:rPr>
              <w:t xml:space="preserve"> PSP-603 GOOD WILL Instruments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3C29" w:rsidRDefault="00283C29" w:rsidP="00283C29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DA37EB" w:rsidRDefault="00283C29" w:rsidP="00283C29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29" w:rsidRPr="006B3EA4" w:rsidRDefault="00283C29" w:rsidP="00283C29">
            <w:r w:rsidRPr="006B3EA4">
              <w:t>До 15.12.2023 г. с возможностью досрочной поставки</w:t>
            </w:r>
          </w:p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915A28" w:rsidRDefault="00915A28">
      <w:pPr>
        <w:spacing w:after="200" w:line="276" w:lineRule="auto"/>
        <w:jc w:val="left"/>
        <w:rPr>
          <w:lang w:eastAsia="en-US"/>
        </w:rPr>
      </w:pPr>
      <w:bookmarkStart w:id="0" w:name="_GoBack"/>
      <w:bookmarkEnd w:id="0"/>
    </w:p>
    <w:sectPr w:rsidR="00915A28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37399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29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D5C85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7472E"/>
    <w:rsid w:val="00777C42"/>
    <w:rsid w:val="0079069D"/>
    <w:rsid w:val="007A02C0"/>
    <w:rsid w:val="007A0747"/>
    <w:rsid w:val="007A22DC"/>
    <w:rsid w:val="007A4285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15A28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57A3F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35376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E66D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3BC2A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BC5D-FAFA-4E57-9FC3-517A99E2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21</cp:revision>
  <cp:lastPrinted>2020-09-16T07:16:00Z</cp:lastPrinted>
  <dcterms:created xsi:type="dcterms:W3CDTF">2022-09-19T06:26:00Z</dcterms:created>
  <dcterms:modified xsi:type="dcterms:W3CDTF">2023-09-29T06:39:00Z</dcterms:modified>
</cp:coreProperties>
</file>