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A7011">
              <w:rPr>
                <w:bCs/>
                <w:sz w:val="24"/>
                <w:szCs w:val="24"/>
              </w:rPr>
              <w:t>25.</w:t>
            </w:r>
            <w:r w:rsidR="00DF0B4B">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AA7011">
            <w:pPr>
              <w:rPr>
                <w:sz w:val="24"/>
                <w:szCs w:val="24"/>
              </w:rPr>
            </w:pPr>
            <w:r w:rsidRPr="002E45CD">
              <w:rPr>
                <w:sz w:val="28"/>
                <w:szCs w:val="28"/>
              </w:rPr>
              <w:t xml:space="preserve">       </w:t>
            </w:r>
            <w:r w:rsidR="006922CF">
              <w:rPr>
                <w:sz w:val="28"/>
                <w:szCs w:val="28"/>
              </w:rPr>
              <w:t xml:space="preserve">          </w:t>
            </w:r>
            <w:r w:rsidR="00AA7011">
              <w:rPr>
                <w:sz w:val="28"/>
                <w:szCs w:val="28"/>
              </w:rPr>
              <w:t>п/п</w:t>
            </w:r>
            <w:r w:rsidR="00096688">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096688"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B000A6" w:rsidRPr="00096688">
        <w:rPr>
          <w:rFonts w:ascii="Times New Roman" w:hAnsi="Times New Roman"/>
          <w:sz w:val="32"/>
          <w:szCs w:val="32"/>
        </w:rPr>
        <w:t xml:space="preserve">поставку </w:t>
      </w:r>
      <w:r w:rsidR="00096688" w:rsidRPr="00096688">
        <w:rPr>
          <w:rFonts w:ascii="Times New Roman" w:hAnsi="Times New Roman"/>
          <w:sz w:val="32"/>
          <w:szCs w:val="32"/>
        </w:rPr>
        <w:t>гофролистов Т23С</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280C8E" w:rsidRDefault="00280C8E" w:rsidP="00280C8E">
      <w:pPr>
        <w:suppressAutoHyphens/>
        <w:spacing w:before="240" w:after="0"/>
        <w:rPr>
          <w:rFonts w:ascii="Times New Roman" w:eastAsia="Times New Roman" w:hAnsi="Times New Roman"/>
          <w:sz w:val="26"/>
          <w:szCs w:val="26"/>
          <w:lang w:eastAsia="ru-RU"/>
        </w:rPr>
      </w:pPr>
    </w:p>
    <w:p w:rsidR="00AA7011" w:rsidRPr="00280C8E" w:rsidRDefault="00AA7011" w:rsidP="00280C8E">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096688" w:rsidRDefault="00B000A6" w:rsidP="00921B32">
            <w:pPr>
              <w:suppressAutoHyphens/>
              <w:spacing w:after="0"/>
              <w:rPr>
                <w:rFonts w:ascii="Times New Roman" w:eastAsia="Calibri" w:hAnsi="Times New Roman"/>
                <w:sz w:val="24"/>
                <w:szCs w:val="24"/>
              </w:rPr>
            </w:pPr>
            <w:r w:rsidRPr="00096688">
              <w:rPr>
                <w:rFonts w:ascii="Times New Roman" w:hAnsi="Times New Roman"/>
                <w:sz w:val="24"/>
                <w:szCs w:val="24"/>
              </w:rPr>
              <w:t xml:space="preserve">Поставка </w:t>
            </w:r>
            <w:r w:rsidR="00096688" w:rsidRPr="00096688">
              <w:rPr>
                <w:rFonts w:ascii="Times New Roman" w:hAnsi="Times New Roman"/>
                <w:sz w:val="24"/>
                <w:szCs w:val="24"/>
              </w:rPr>
              <w:t>гофролистов Т23С</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096688">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96688">
              <w:rPr>
                <w:rFonts w:ascii="Times New Roman" w:hAnsi="Times New Roman"/>
                <w:bCs/>
                <w:sz w:val="24"/>
                <w:szCs w:val="24"/>
              </w:rPr>
              <w:t>368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096688" w:rsidP="00096688">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185 880</w:t>
            </w:r>
            <w:r w:rsidR="00BC5571">
              <w:rPr>
                <w:rFonts w:ascii="Times New Roman" w:hAnsi="Times New Roman"/>
                <w:sz w:val="24"/>
                <w:szCs w:val="24"/>
              </w:rPr>
              <w:t xml:space="preserve"> (</w:t>
            </w:r>
            <w:r>
              <w:rPr>
                <w:rFonts w:ascii="Times New Roman" w:hAnsi="Times New Roman"/>
                <w:sz w:val="24"/>
                <w:szCs w:val="24"/>
              </w:rPr>
              <w:t>Сто восемьдесят пять тысяч восемьсот восемьдесят</w:t>
            </w:r>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sidR="003635F7">
              <w:rPr>
                <w:rFonts w:ascii="Times New Roman" w:hAnsi="Times New Roman"/>
                <w:sz w:val="24"/>
                <w:szCs w:val="24"/>
              </w:rPr>
              <w:t xml:space="preserve">00 </w:t>
            </w:r>
            <w:r w:rsidR="00DF0B4B">
              <w:rPr>
                <w:rFonts w:ascii="Times New Roman" w:hAnsi="Times New Roman"/>
                <w:sz w:val="24"/>
                <w:szCs w:val="24"/>
              </w:rPr>
              <w:t>копеек</w:t>
            </w:r>
            <w:r w:rsidR="003635F7">
              <w:rPr>
                <w:rFonts w:ascii="Times New Roman" w:hAnsi="Times New Roman"/>
                <w:sz w:val="24"/>
                <w:szCs w:val="24"/>
              </w:rPr>
              <w:t>, с НДС.</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096688" w:rsidRDefault="00096688" w:rsidP="00096688">
            <w:pPr>
              <w:spacing w:after="0" w:line="240" w:lineRule="auto"/>
              <w:contextualSpacing/>
              <w:jc w:val="both"/>
              <w:rPr>
                <w:rFonts w:ascii="Times New Roman" w:hAnsi="Times New Roman"/>
                <w:sz w:val="24"/>
                <w:szCs w:val="24"/>
              </w:rPr>
            </w:pPr>
            <w:r w:rsidRPr="00096688">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обеспечение сохранности Товара до </w:t>
            </w:r>
            <w:r w:rsidRPr="00096688">
              <w:rPr>
                <w:rFonts w:ascii="Times New Roman" w:hAnsi="Times New Roman"/>
                <w:sz w:val="24"/>
                <w:szCs w:val="24"/>
              </w:rPr>
              <w:lastRenderedPageBreak/>
              <w:t>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3635F7" w:rsidRPr="00096688">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A7011">
              <w:rPr>
                <w:rFonts w:ascii="Times New Roman" w:hAnsi="Times New Roman"/>
                <w:bCs/>
                <w:sz w:val="24"/>
                <w:szCs w:val="24"/>
              </w:rPr>
              <w:t>28</w:t>
            </w:r>
            <w:r w:rsidR="00A9692C">
              <w:rPr>
                <w:rFonts w:ascii="Times New Roman" w:hAnsi="Times New Roman"/>
                <w:bCs/>
                <w:sz w:val="24"/>
                <w:szCs w:val="24"/>
              </w:rPr>
              <w:t xml:space="preserve">» </w:t>
            </w:r>
            <w:r w:rsidR="003E49F2">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A7011">
            <w:pPr>
              <w:pStyle w:val="afffff5"/>
              <w:rPr>
                <w:rFonts w:ascii="Times New Roman" w:hAnsi="Times New Roman"/>
                <w:bCs/>
                <w:sz w:val="24"/>
                <w:szCs w:val="24"/>
              </w:rPr>
            </w:pPr>
            <w:r w:rsidRPr="00A505AA">
              <w:rPr>
                <w:rFonts w:ascii="Times New Roman" w:hAnsi="Times New Roman"/>
                <w:bCs/>
                <w:spacing w:val="-6"/>
                <w:sz w:val="24"/>
                <w:szCs w:val="24"/>
              </w:rPr>
              <w:t>«</w:t>
            </w:r>
            <w:r w:rsidR="00AA7011">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3E49F2">
              <w:rPr>
                <w:rFonts w:ascii="Times New Roman" w:hAnsi="Times New Roman"/>
                <w:bCs/>
                <w:sz w:val="24"/>
                <w:szCs w:val="24"/>
              </w:rPr>
              <w:t>июля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A7011">
            <w:pPr>
              <w:pStyle w:val="afffff5"/>
              <w:rPr>
                <w:rFonts w:ascii="Times New Roman" w:hAnsi="Times New Roman"/>
                <w:bCs/>
                <w:sz w:val="24"/>
                <w:szCs w:val="24"/>
              </w:rPr>
            </w:pPr>
            <w:r w:rsidRPr="00A505AA">
              <w:rPr>
                <w:rFonts w:ascii="Times New Roman" w:hAnsi="Times New Roman"/>
                <w:bCs/>
                <w:spacing w:val="-6"/>
                <w:sz w:val="24"/>
                <w:szCs w:val="24"/>
              </w:rPr>
              <w:t>«</w:t>
            </w:r>
            <w:r w:rsidR="00AA7011">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3E49F2">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096688" w:rsidP="00B000A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3000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A7011" w:rsidRPr="008E29AD" w:rsidRDefault="00AA7011" w:rsidP="00AA7011">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3</w:t>
            </w:r>
            <w:r w:rsidRPr="008E29AD">
              <w:rPr>
                <w:rFonts w:ascii="Times New Roman" w:eastAsia="Times New Roman" w:hAnsi="Times New Roman"/>
                <w:bCs/>
                <w:sz w:val="24"/>
                <w:szCs w:val="24"/>
                <w:lang w:eastAsia="ru-RU"/>
              </w:rPr>
              <w:t xml:space="preserve"> проекта договора</w:t>
            </w:r>
          </w:p>
          <w:p w:rsidR="00CF6066" w:rsidRPr="00096688" w:rsidRDefault="00CF6066" w:rsidP="00096688">
            <w:pPr>
              <w:autoSpaceDE w:val="0"/>
              <w:autoSpaceDN w:val="0"/>
              <w:adjustRightInd w:val="0"/>
              <w:spacing w:after="0" w:line="240" w:lineRule="auto"/>
              <w:jc w:val="both"/>
              <w:rPr>
                <w:rFonts w:ascii="Times New Roman" w:hAnsi="Times New Roman"/>
                <w:sz w:val="24"/>
                <w:szCs w:val="24"/>
              </w:rPr>
            </w:pPr>
            <w:bookmarkStart w:id="13" w:name="_GoBack"/>
            <w:bookmarkEnd w:id="13"/>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73"/>
        <w:gridCol w:w="1037"/>
        <w:gridCol w:w="1985"/>
        <w:gridCol w:w="1707"/>
        <w:gridCol w:w="935"/>
        <w:gridCol w:w="1125"/>
        <w:gridCol w:w="1336"/>
      </w:tblGrid>
      <w:tr w:rsidR="00096688" w:rsidRPr="008235B7" w:rsidTr="00930AC0">
        <w:trPr>
          <w:trHeight w:val="2098"/>
          <w:tblHeader/>
        </w:trPr>
        <w:tc>
          <w:tcPr>
            <w:tcW w:w="562" w:type="dxa"/>
          </w:tcPr>
          <w:p w:rsidR="00096688" w:rsidRDefault="00096688" w:rsidP="00096688">
            <w:pPr>
              <w:rPr>
                <w:rFonts w:ascii="Times New Roman" w:hAnsi="Times New Roman"/>
                <w:sz w:val="24"/>
                <w:szCs w:val="24"/>
              </w:rPr>
            </w:pPr>
            <w:r w:rsidRPr="00096688">
              <w:rPr>
                <w:rFonts w:ascii="Times New Roman" w:hAnsi="Times New Roman"/>
                <w:sz w:val="24"/>
                <w:szCs w:val="24"/>
              </w:rPr>
              <w:t>№</w:t>
            </w:r>
          </w:p>
          <w:p w:rsidR="00096688" w:rsidRPr="00096688" w:rsidRDefault="00096688" w:rsidP="00096688">
            <w:pPr>
              <w:rPr>
                <w:rFonts w:ascii="Times New Roman" w:hAnsi="Times New Roman"/>
                <w:sz w:val="24"/>
                <w:szCs w:val="24"/>
              </w:rPr>
            </w:pPr>
            <w:r w:rsidRPr="00096688">
              <w:rPr>
                <w:rFonts w:ascii="Times New Roman" w:hAnsi="Times New Roman"/>
                <w:sz w:val="24"/>
                <w:szCs w:val="24"/>
              </w:rPr>
              <w:t>п/п</w:t>
            </w:r>
          </w:p>
        </w:tc>
        <w:tc>
          <w:tcPr>
            <w:tcW w:w="1373" w:type="dxa"/>
            <w:hideMark/>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Товар</w:t>
            </w:r>
          </w:p>
        </w:tc>
        <w:tc>
          <w:tcPr>
            <w:tcW w:w="1037" w:type="dxa"/>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Кол-во и ед. измерения</w:t>
            </w:r>
          </w:p>
        </w:tc>
        <w:tc>
          <w:tcPr>
            <w:tcW w:w="1985" w:type="dxa"/>
            <w:hideMark/>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Описание Товара (ассортимент, комплектность, иные требования)</w:t>
            </w:r>
          </w:p>
        </w:tc>
        <w:tc>
          <w:tcPr>
            <w:tcW w:w="1707" w:type="dxa"/>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Требования к таре и упаковке</w:t>
            </w:r>
          </w:p>
        </w:tc>
        <w:tc>
          <w:tcPr>
            <w:tcW w:w="935" w:type="dxa"/>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 xml:space="preserve">Цена за ед., руб., в т.ч. НДС (%) </w:t>
            </w:r>
          </w:p>
        </w:tc>
        <w:tc>
          <w:tcPr>
            <w:tcW w:w="1125" w:type="dxa"/>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 xml:space="preserve">Общая цена, руб., </w:t>
            </w:r>
          </w:p>
          <w:p w:rsidR="00096688" w:rsidRPr="00096688" w:rsidRDefault="00096688" w:rsidP="00096688">
            <w:pPr>
              <w:rPr>
                <w:rFonts w:ascii="Times New Roman" w:hAnsi="Times New Roman"/>
                <w:sz w:val="24"/>
                <w:szCs w:val="24"/>
              </w:rPr>
            </w:pPr>
            <w:r w:rsidRPr="00096688">
              <w:rPr>
                <w:rFonts w:ascii="Times New Roman" w:hAnsi="Times New Roman"/>
                <w:sz w:val="24"/>
                <w:szCs w:val="24"/>
              </w:rPr>
              <w:t>в т.ч. НДС (%)</w:t>
            </w:r>
          </w:p>
        </w:tc>
        <w:tc>
          <w:tcPr>
            <w:tcW w:w="1336" w:type="dxa"/>
          </w:tcPr>
          <w:p w:rsidR="00096688" w:rsidRPr="00096688" w:rsidRDefault="00096688" w:rsidP="00096688">
            <w:pPr>
              <w:jc w:val="center"/>
              <w:rPr>
                <w:rFonts w:ascii="Times New Roman" w:hAnsi="Times New Roman"/>
                <w:sz w:val="24"/>
                <w:szCs w:val="24"/>
              </w:rPr>
            </w:pPr>
            <w:r w:rsidRPr="00096688">
              <w:rPr>
                <w:rFonts w:ascii="Times New Roman" w:hAnsi="Times New Roman"/>
                <w:sz w:val="24"/>
                <w:szCs w:val="24"/>
              </w:rPr>
              <w:t>Страна происхождения Товара</w:t>
            </w:r>
          </w:p>
        </w:tc>
      </w:tr>
      <w:tr w:rsidR="00096688" w:rsidRPr="008235B7" w:rsidTr="00930AC0">
        <w:trPr>
          <w:trHeight w:val="1916"/>
        </w:trPr>
        <w:tc>
          <w:tcPr>
            <w:tcW w:w="562" w:type="dxa"/>
          </w:tcPr>
          <w:p w:rsidR="00096688" w:rsidRPr="00096688" w:rsidRDefault="00096688" w:rsidP="00096688">
            <w:pPr>
              <w:ind w:left="-119" w:right="34"/>
              <w:rPr>
                <w:rFonts w:ascii="Times New Roman" w:hAnsi="Times New Roman"/>
                <w:sz w:val="24"/>
                <w:szCs w:val="24"/>
              </w:rPr>
            </w:pPr>
            <w:r w:rsidRPr="00096688">
              <w:rPr>
                <w:rFonts w:ascii="Times New Roman" w:hAnsi="Times New Roman"/>
                <w:sz w:val="24"/>
                <w:szCs w:val="24"/>
              </w:rPr>
              <w:t>1.</w:t>
            </w:r>
          </w:p>
        </w:tc>
        <w:tc>
          <w:tcPr>
            <w:tcW w:w="1373" w:type="dxa"/>
            <w:noWrap/>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Гофролист 1050*2000 Т23С</w:t>
            </w:r>
          </w:p>
        </w:tc>
        <w:tc>
          <w:tcPr>
            <w:tcW w:w="1037" w:type="dxa"/>
          </w:tcPr>
          <w:p w:rsidR="00096688" w:rsidRPr="00096688" w:rsidRDefault="00096688" w:rsidP="00096688">
            <w:pPr>
              <w:rPr>
                <w:rFonts w:ascii="Times New Roman" w:hAnsi="Times New Roman"/>
                <w:sz w:val="24"/>
                <w:szCs w:val="24"/>
              </w:rPr>
            </w:pPr>
            <w:r w:rsidRPr="00096688">
              <w:rPr>
                <w:rFonts w:ascii="Times New Roman" w:hAnsi="Times New Roman"/>
                <w:sz w:val="24"/>
                <w:szCs w:val="24"/>
              </w:rPr>
              <w:t>3</w:t>
            </w:r>
            <w:r w:rsidRPr="00096688">
              <w:rPr>
                <w:rFonts w:ascii="Times New Roman" w:hAnsi="Times New Roman"/>
                <w:sz w:val="24"/>
                <w:szCs w:val="24"/>
                <w:lang w:val="en-US"/>
              </w:rPr>
              <w:t xml:space="preserve">000 </w:t>
            </w:r>
            <w:r w:rsidRPr="00096688">
              <w:rPr>
                <w:rFonts w:ascii="Times New Roman" w:hAnsi="Times New Roman"/>
                <w:sz w:val="24"/>
                <w:szCs w:val="24"/>
              </w:rPr>
              <w:t>штук</w:t>
            </w:r>
          </w:p>
        </w:tc>
        <w:tc>
          <w:tcPr>
            <w:tcW w:w="1985" w:type="dxa"/>
            <w:noWrap/>
          </w:tcPr>
          <w:p w:rsidR="00096688" w:rsidRPr="00096688" w:rsidRDefault="00096688" w:rsidP="00096688">
            <w:pPr>
              <w:ind w:hanging="567"/>
              <w:rPr>
                <w:rFonts w:ascii="Times New Roman" w:hAnsi="Times New Roman"/>
                <w:sz w:val="24"/>
                <w:szCs w:val="24"/>
              </w:rPr>
            </w:pPr>
            <w:r w:rsidRPr="00096688">
              <w:rPr>
                <w:rFonts w:ascii="Times New Roman" w:hAnsi="Times New Roman"/>
                <w:sz w:val="24"/>
                <w:szCs w:val="24"/>
              </w:rPr>
              <w:t>Рул</w:t>
            </w:r>
          </w:p>
          <w:p w:rsidR="00096688" w:rsidRPr="00096688" w:rsidRDefault="00096688" w:rsidP="00096688">
            <w:pPr>
              <w:rPr>
                <w:rFonts w:ascii="Times New Roman" w:hAnsi="Times New Roman"/>
                <w:sz w:val="24"/>
                <w:szCs w:val="24"/>
              </w:rPr>
            </w:pPr>
            <w:r w:rsidRPr="00096688">
              <w:rPr>
                <w:rFonts w:ascii="Times New Roman" w:hAnsi="Times New Roman"/>
                <w:sz w:val="24"/>
                <w:szCs w:val="24"/>
              </w:rPr>
              <w:t>ГОСТ Р 52901-2007</w:t>
            </w:r>
          </w:p>
        </w:tc>
        <w:tc>
          <w:tcPr>
            <w:tcW w:w="1707" w:type="dxa"/>
          </w:tcPr>
          <w:p w:rsidR="00096688" w:rsidRPr="00096688" w:rsidRDefault="00096688" w:rsidP="00096688">
            <w:pPr>
              <w:ind w:hanging="567"/>
              <w:rPr>
                <w:rFonts w:ascii="Times New Roman" w:hAnsi="Times New Roman"/>
                <w:sz w:val="24"/>
                <w:szCs w:val="24"/>
              </w:rPr>
            </w:pPr>
          </w:p>
          <w:p w:rsidR="00096688" w:rsidRPr="00096688" w:rsidRDefault="00096688" w:rsidP="00096688">
            <w:pPr>
              <w:rPr>
                <w:rFonts w:ascii="Times New Roman" w:hAnsi="Times New Roman"/>
                <w:sz w:val="24"/>
                <w:szCs w:val="24"/>
              </w:rPr>
            </w:pPr>
            <w:r w:rsidRPr="00096688">
              <w:rPr>
                <w:rFonts w:ascii="Times New Roman" w:hAnsi="Times New Roman"/>
                <w:sz w:val="24"/>
                <w:szCs w:val="24"/>
              </w:rPr>
              <w:t>Целостность упаковки</w:t>
            </w:r>
          </w:p>
          <w:p w:rsidR="00096688" w:rsidRPr="00096688" w:rsidRDefault="00096688" w:rsidP="00096688">
            <w:pPr>
              <w:jc w:val="center"/>
              <w:rPr>
                <w:rFonts w:ascii="Times New Roman" w:hAnsi="Times New Roman"/>
                <w:sz w:val="24"/>
                <w:szCs w:val="24"/>
              </w:rPr>
            </w:pPr>
          </w:p>
        </w:tc>
        <w:tc>
          <w:tcPr>
            <w:tcW w:w="935" w:type="dxa"/>
          </w:tcPr>
          <w:p w:rsidR="00096688" w:rsidRPr="00096688" w:rsidRDefault="00096688" w:rsidP="00096688">
            <w:pPr>
              <w:ind w:hanging="567"/>
              <w:rPr>
                <w:rFonts w:ascii="Times New Roman" w:hAnsi="Times New Roman"/>
                <w:sz w:val="24"/>
                <w:szCs w:val="24"/>
              </w:rPr>
            </w:pPr>
          </w:p>
          <w:p w:rsidR="00096688" w:rsidRPr="00096688" w:rsidRDefault="00096688" w:rsidP="00096688">
            <w:pPr>
              <w:jc w:val="center"/>
              <w:rPr>
                <w:rFonts w:ascii="Times New Roman" w:hAnsi="Times New Roman"/>
                <w:sz w:val="24"/>
                <w:szCs w:val="24"/>
              </w:rPr>
            </w:pPr>
          </w:p>
        </w:tc>
        <w:tc>
          <w:tcPr>
            <w:tcW w:w="1125" w:type="dxa"/>
          </w:tcPr>
          <w:p w:rsidR="00096688" w:rsidRPr="00096688" w:rsidRDefault="00096688" w:rsidP="00096688">
            <w:pPr>
              <w:ind w:hanging="567"/>
              <w:rPr>
                <w:rFonts w:ascii="Times New Roman" w:hAnsi="Times New Roman"/>
                <w:sz w:val="24"/>
                <w:szCs w:val="24"/>
              </w:rPr>
            </w:pPr>
          </w:p>
          <w:p w:rsidR="00096688" w:rsidRPr="00096688" w:rsidRDefault="00096688" w:rsidP="00096688">
            <w:pPr>
              <w:jc w:val="center"/>
              <w:rPr>
                <w:rFonts w:ascii="Times New Roman" w:hAnsi="Times New Roman"/>
                <w:sz w:val="24"/>
                <w:szCs w:val="24"/>
                <w:lang w:val="en-US"/>
              </w:rPr>
            </w:pPr>
          </w:p>
        </w:tc>
        <w:tc>
          <w:tcPr>
            <w:tcW w:w="1336" w:type="dxa"/>
          </w:tcPr>
          <w:p w:rsidR="00096688" w:rsidRPr="00096688" w:rsidRDefault="00096688" w:rsidP="00096688">
            <w:pPr>
              <w:spacing w:after="160" w:line="259" w:lineRule="auto"/>
              <w:jc w:val="center"/>
              <w:rPr>
                <w:rFonts w:ascii="Calibri" w:eastAsia="Calibri" w:hAnsi="Calibri"/>
                <w:sz w:val="24"/>
                <w:szCs w:val="24"/>
              </w:rPr>
            </w:pPr>
          </w:p>
        </w:tc>
      </w:tr>
    </w:tbl>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_________</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(подпись)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М.П. (при наличии)</w:t>
      </w:r>
    </w:p>
    <w:p w:rsidR="00930AC0" w:rsidRDefault="00930AC0"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930AC0" w:rsidRPr="00CA066B" w:rsidRDefault="00930AC0" w:rsidP="004D71C9">
      <w:pPr>
        <w:keepNext/>
        <w:keepLines/>
        <w:suppressAutoHyphens/>
        <w:spacing w:after="0" w:line="240" w:lineRule="auto"/>
        <w:ind w:right="-286"/>
        <w:outlineLvl w:val="1"/>
        <w:rPr>
          <w:rFonts w:ascii="Times New Roman" w:hAnsi="Times New Roman"/>
          <w:lang w:eastAsia="ru-RU"/>
        </w:rPr>
      </w:pP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930AC0">
        <w:rPr>
          <w:rFonts w:ascii="Times New Roman" w:eastAsia="Times New Roman" w:hAnsi="Times New Roman"/>
          <w:i/>
          <w:sz w:val="22"/>
          <w:szCs w:val="22"/>
          <w:lang w:eastAsia="ru-RU"/>
        </w:rPr>
        <w:t>6, 7</w:t>
      </w:r>
      <w:r w:rsidR="00072FD8">
        <w:rPr>
          <w:rFonts w:ascii="Times New Roman" w:eastAsia="Times New Roman" w:hAnsi="Times New Roman"/>
          <w:i/>
          <w:sz w:val="22"/>
          <w:szCs w:val="22"/>
          <w:lang w:eastAsia="ru-RU"/>
        </w:rPr>
        <w:t xml:space="preserve"> </w:t>
      </w:r>
      <w:r w:rsidRPr="00283B48">
        <w:rPr>
          <w:rFonts w:ascii="Times New Roman" w:eastAsia="Times New Roman" w:hAnsi="Times New Roman"/>
          <w:i/>
          <w:sz w:val="22"/>
          <w:szCs w:val="22"/>
          <w:lang w:eastAsia="ru-RU"/>
        </w:rPr>
        <w:t>– участник процедуры закупки заполняет в соответствии со своим предложением и условиями Технического задания</w:t>
      </w:r>
      <w:r w:rsidRPr="00283B48">
        <w:rPr>
          <w:rFonts w:ascii="Times New Roman" w:eastAsia="Times New Roman" w:hAnsi="Times New Roman"/>
          <w:i/>
          <w:sz w:val="24"/>
          <w:szCs w:val="24"/>
          <w:lang w:eastAsia="ru-RU"/>
        </w:rPr>
        <w:t xml:space="preserve">. </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930AC0">
        <w:rPr>
          <w:rFonts w:ascii="Times New Roman" w:eastAsia="Times New Roman" w:hAnsi="Times New Roman"/>
          <w:i/>
          <w:sz w:val="22"/>
          <w:szCs w:val="22"/>
          <w:lang w:eastAsia="ru-RU"/>
        </w:rPr>
        <w:t>8</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24C" w:rsidRDefault="00B6424C" w:rsidP="00BE4551">
      <w:pPr>
        <w:spacing w:after="0" w:line="240" w:lineRule="auto"/>
      </w:pPr>
      <w:r>
        <w:separator/>
      </w:r>
    </w:p>
  </w:endnote>
  <w:endnote w:type="continuationSeparator" w:id="0">
    <w:p w:rsidR="00B6424C" w:rsidRDefault="00B6424C" w:rsidP="00BE4551">
      <w:pPr>
        <w:spacing w:after="0" w:line="240" w:lineRule="auto"/>
      </w:pPr>
      <w:r>
        <w:continuationSeparator/>
      </w:r>
    </w:p>
  </w:endnote>
  <w:endnote w:type="continuationNotice" w:id="1">
    <w:p w:rsidR="00B6424C" w:rsidRDefault="00B64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96688" w:rsidRDefault="0009668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96688" w:rsidRDefault="000966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688" w:rsidRPr="0032691D" w:rsidRDefault="00096688"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96688" w:rsidRDefault="0009668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A701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96688" w:rsidRDefault="00096688"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688" w:rsidRPr="0032691D" w:rsidRDefault="00096688"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96688" w:rsidRPr="00C408FB" w:rsidRDefault="0009668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A701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096688" w:rsidRPr="00CA0F23" w:rsidRDefault="0009668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688" w:rsidRPr="0032691D" w:rsidRDefault="00096688"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096688" w:rsidRPr="00CA0F23" w:rsidRDefault="0009668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A701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688" w:rsidRPr="0032691D" w:rsidRDefault="00096688"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24C" w:rsidRDefault="00B6424C" w:rsidP="00BE4551">
      <w:pPr>
        <w:spacing w:after="0" w:line="240" w:lineRule="auto"/>
      </w:pPr>
      <w:r>
        <w:separator/>
      </w:r>
    </w:p>
  </w:footnote>
  <w:footnote w:type="continuationSeparator" w:id="0">
    <w:p w:rsidR="00B6424C" w:rsidRDefault="00B6424C" w:rsidP="00BE4551">
      <w:pPr>
        <w:spacing w:after="0" w:line="240" w:lineRule="auto"/>
      </w:pPr>
      <w:r>
        <w:continuationSeparator/>
      </w:r>
    </w:p>
  </w:footnote>
  <w:footnote w:type="continuationNotice" w:id="1">
    <w:p w:rsidR="00B6424C" w:rsidRDefault="00B6424C">
      <w:pPr>
        <w:spacing w:after="0" w:line="240" w:lineRule="auto"/>
      </w:pPr>
    </w:p>
  </w:footnote>
  <w:footnote w:id="2">
    <w:p w:rsidR="00096688" w:rsidRDefault="00096688"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688" w:rsidRPr="00A234A7" w:rsidRDefault="00096688"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68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E58"/>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708"/>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A60"/>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AC0"/>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011"/>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2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E5639-A711-46B4-A13A-0972A1F60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34</Pages>
  <Words>12831</Words>
  <Characters>73143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85803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100</cp:revision>
  <cp:lastPrinted>2023-04-11T06:56:00Z</cp:lastPrinted>
  <dcterms:created xsi:type="dcterms:W3CDTF">2022-10-13T07:14:00Z</dcterms:created>
  <dcterms:modified xsi:type="dcterms:W3CDTF">2023-07-25T05:54:00Z</dcterms:modified>
</cp:coreProperties>
</file>