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C2D" w:rsidRDefault="00167C2D" w:rsidP="00167C2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71CF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ТЕХНИЧЕСКОЕ </w:t>
      </w:r>
      <w:proofErr w:type="gramStart"/>
      <w:r w:rsidRPr="00DE71CF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далее-ТЗ)</w:t>
      </w:r>
    </w:p>
    <w:p w:rsidR="00167C2D" w:rsidRDefault="00167C2D" w:rsidP="00167C2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4FBC">
        <w:rPr>
          <w:rFonts w:ascii="Times New Roman" w:eastAsia="Calibri" w:hAnsi="Times New Roman" w:cs="Times New Roman"/>
          <w:sz w:val="24"/>
          <w:szCs w:val="24"/>
        </w:rPr>
        <w:t xml:space="preserve"> на выполнение работ (оказание услуг)</w:t>
      </w:r>
    </w:p>
    <w:p w:rsidR="00167C2D" w:rsidRDefault="00167C2D" w:rsidP="00167C2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567"/>
        <w:gridCol w:w="3119"/>
        <w:gridCol w:w="5528"/>
      </w:tblGrid>
      <w:tr w:rsidR="00167C2D" w:rsidTr="004D5918">
        <w:tc>
          <w:tcPr>
            <w:tcW w:w="567" w:type="dxa"/>
            <w:vAlign w:val="center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647" w:type="dxa"/>
            <w:gridSpan w:val="2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</w:t>
            </w:r>
            <w:r w:rsidRPr="000B4FB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 к выполнению работ</w:t>
            </w:r>
          </w:p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(оказанию услуг)</w:t>
            </w:r>
          </w:p>
        </w:tc>
      </w:tr>
      <w:tr w:rsidR="00167C2D" w:rsidTr="004D5918">
        <w:tc>
          <w:tcPr>
            <w:tcW w:w="567" w:type="dxa"/>
            <w:vMerge w:val="restart"/>
          </w:tcPr>
          <w:p w:rsidR="00167C2D" w:rsidRPr="007F7293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7F7293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8647" w:type="dxa"/>
            <w:gridSpan w:val="2"/>
          </w:tcPr>
          <w:p w:rsidR="00167C2D" w:rsidRPr="007F7293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7F729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167C2D" w:rsidTr="004D5918">
        <w:tc>
          <w:tcPr>
            <w:tcW w:w="567" w:type="dxa"/>
            <w:vMerge/>
          </w:tcPr>
          <w:p w:rsidR="00167C2D" w:rsidRPr="007F7293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Pr="007F7293" w:rsidRDefault="00167C2D" w:rsidP="004D5918">
            <w:pPr>
              <w:widowControl w:val="0"/>
              <w:autoSpaceDE w:val="0"/>
              <w:autoSpaceDN w:val="0"/>
              <w:adjustRightInd w:val="0"/>
              <w:ind w:firstLine="6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293">
              <w:rPr>
                <w:rFonts w:ascii="Times New Roman" w:hAnsi="Times New Roman" w:cs="Times New Roman"/>
                <w:sz w:val="24"/>
                <w:szCs w:val="24"/>
              </w:rPr>
              <w:t>АО «НПО автоматики»</w:t>
            </w:r>
          </w:p>
        </w:tc>
      </w:tr>
      <w:tr w:rsidR="00167C2D" w:rsidTr="004D5918">
        <w:tc>
          <w:tcPr>
            <w:tcW w:w="567" w:type="dxa"/>
            <w:vMerge w:val="restart"/>
          </w:tcPr>
          <w:p w:rsidR="00167C2D" w:rsidRPr="007F7293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  <w:r w:rsidRPr="007F7293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8647" w:type="dxa"/>
            <w:gridSpan w:val="2"/>
          </w:tcPr>
          <w:p w:rsidR="00167C2D" w:rsidRPr="007F7293" w:rsidRDefault="00167C2D" w:rsidP="004D5918">
            <w:pPr>
              <w:tabs>
                <w:tab w:val="left" w:pos="12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7293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Способ закупки:</w:t>
            </w:r>
          </w:p>
        </w:tc>
      </w:tr>
      <w:tr w:rsidR="00167C2D" w:rsidTr="004D5918">
        <w:tc>
          <w:tcPr>
            <w:tcW w:w="567" w:type="dxa"/>
            <w:vMerge/>
          </w:tcPr>
          <w:p w:rsidR="00167C2D" w:rsidRPr="007F7293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Pr="007F7293" w:rsidRDefault="00167C2D" w:rsidP="004D5918">
            <w:pPr>
              <w:widowControl w:val="0"/>
              <w:autoSpaceDE w:val="0"/>
              <w:autoSpaceDN w:val="0"/>
              <w:adjustRightInd w:val="0"/>
              <w:ind w:firstLine="6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Открытый запрос предложений в электронной</w:t>
            </w:r>
            <w:r w:rsidRPr="007F72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67C2D" w:rsidTr="004D5918">
        <w:tc>
          <w:tcPr>
            <w:tcW w:w="567" w:type="dxa"/>
            <w:vMerge w:val="restart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47" w:type="dxa"/>
            <w:gridSpan w:val="2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4FA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Предмет договора:</w:t>
            </w:r>
          </w:p>
        </w:tc>
      </w:tr>
      <w:tr w:rsidR="00167C2D" w:rsidTr="004D5918">
        <w:tc>
          <w:tcPr>
            <w:tcW w:w="567" w:type="dxa"/>
            <w:vMerge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BF7CE1" w:rsidRPr="00EE69B6" w:rsidRDefault="00BF7CE1" w:rsidP="00BF7CE1">
            <w:pPr>
              <w:widowControl w:val="0"/>
              <w:autoSpaceDE w:val="0"/>
              <w:autoSpaceDN w:val="0"/>
              <w:adjustRightInd w:val="0"/>
              <w:ind w:firstLine="742"/>
              <w:jc w:val="both"/>
              <w:rPr>
                <w:rFonts w:ascii="Times New Roman" w:eastAsia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Организация </w:t>
            </w:r>
            <w:r w:rsidR="007A7679" w:rsidRPr="000314A6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комплексного</w:t>
            </w:r>
            <w:r w:rsidR="007A7679" w:rsidRPr="007A7679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</w:rPr>
              <w:t>обслуживания</w:t>
            </w:r>
            <w:r w:rsidRPr="00EE69B6">
              <w:rPr>
                <w:rFonts w:ascii="Times New Roman" w:eastAsia="Times New Roman" w:hAnsi="Times New Roman" w:cs="Times New Roman"/>
                <w:sz w:val="24"/>
                <w:szCs w:val="21"/>
              </w:rPr>
              <w:t xml:space="preserve"> по приобретению авиа и железнодорожных билетов для АО «НПО автоматики» (далее – услуги). </w:t>
            </w:r>
          </w:p>
          <w:p w:rsidR="00167C2D" w:rsidRPr="00B1495D" w:rsidRDefault="00167C2D" w:rsidP="004D5918">
            <w:pPr>
              <w:widowControl w:val="0"/>
              <w:autoSpaceDE w:val="0"/>
              <w:autoSpaceDN w:val="0"/>
              <w:adjustRightInd w:val="0"/>
              <w:ind w:firstLine="7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1"/>
              </w:rPr>
              <w:t xml:space="preserve">Объем договора: из расчета максимально возможной суммы всех платежей по договору в объеме: железнодорожные билеты – 183 у.е.; авиа билеты –1759 у.е. </w:t>
            </w:r>
            <w:r w:rsidRPr="0045763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1"/>
              </w:rPr>
              <w:t>(объем является приблизительным и будет складываться из объема фактически оказываемых услуг, при этом Заказчик не несет никакой ответственности за неполную выборку услуг).</w:t>
            </w:r>
          </w:p>
        </w:tc>
      </w:tr>
      <w:tr w:rsidR="00167C2D" w:rsidTr="004D5918">
        <w:tc>
          <w:tcPr>
            <w:tcW w:w="567" w:type="dxa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47" w:type="dxa"/>
            <w:gridSpan w:val="2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(услуги)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результатам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(услуг)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67C2D" w:rsidTr="004D5918">
        <w:tc>
          <w:tcPr>
            <w:tcW w:w="567" w:type="dxa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67C2D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Технический регламент/</w:t>
            </w:r>
          </w:p>
          <w:p w:rsidR="00167C2D" w:rsidRPr="0089353F" w:rsidRDefault="00167C2D" w:rsidP="004D5918">
            <w:pPr>
              <w:shd w:val="clear" w:color="auto" w:fill="FFFFFF"/>
              <w:spacing w:after="60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528" w:type="dxa"/>
            <w:vAlign w:val="center"/>
          </w:tcPr>
          <w:p w:rsidR="00167C2D" w:rsidRPr="0089353F" w:rsidRDefault="00167C2D" w:rsidP="004D5918">
            <w:pPr>
              <w:shd w:val="clear" w:color="auto" w:fill="FFFFFF"/>
              <w:spacing w:after="60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Воздушны</w:t>
            </w:r>
            <w:r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й</w:t>
            </w:r>
            <w:r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 кодекс Российской Федерации, а также Общи</w:t>
            </w:r>
            <w:r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е</w:t>
            </w:r>
            <w:r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 правила</w:t>
            </w:r>
            <w:r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воздушных перевозок пассажиров, багажа, грузов и требования к обслуживанию пассажиров, грузоотправителей, грузополучателей, утвержденным приказом Минтранса России от 28.06.2007 г. №82 ФЗ.</w:t>
            </w:r>
          </w:p>
          <w:p w:rsidR="00167C2D" w:rsidRPr="0089353F" w:rsidRDefault="00167C2D" w:rsidP="004D5918">
            <w:pPr>
              <w:shd w:val="clear" w:color="auto" w:fill="FFFFFF"/>
              <w:spacing w:after="60"/>
              <w:ind w:firstLine="318"/>
              <w:jc w:val="both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Федеральны</w:t>
            </w:r>
            <w:r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й</w:t>
            </w:r>
            <w:r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 закон от 10.01.2003 №18 ФЗ “Устав железнодорожного транспорта Российской Федерации”. </w:t>
            </w:r>
          </w:p>
          <w:p w:rsidR="00167C2D" w:rsidRDefault="00167C2D" w:rsidP="004D5918">
            <w:pPr>
              <w:shd w:val="clear" w:color="auto" w:fill="FFFFFF"/>
              <w:spacing w:after="6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Федеральный закон от 27.07.2006 № 152 ФЗ «О персональных данных».</w:t>
            </w:r>
          </w:p>
        </w:tc>
      </w:tr>
      <w:tr w:rsidR="00167C2D" w:rsidTr="004D5918">
        <w:tc>
          <w:tcPr>
            <w:tcW w:w="567" w:type="dxa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67C2D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.2 </w:t>
            </w:r>
          </w:p>
        </w:tc>
        <w:tc>
          <w:tcPr>
            <w:tcW w:w="3119" w:type="dxa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 работы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(оказанию услуги)</w:t>
            </w:r>
          </w:p>
        </w:tc>
        <w:tc>
          <w:tcPr>
            <w:tcW w:w="5528" w:type="dxa"/>
            <w:vAlign w:val="center"/>
          </w:tcPr>
          <w:p w:rsidR="00167C2D" w:rsidRPr="00385862" w:rsidRDefault="00167C2D" w:rsidP="004D5918">
            <w:pPr>
              <w:widowControl w:val="0"/>
              <w:autoSpaceDE w:val="0"/>
              <w:autoSpaceDN w:val="0"/>
              <w:adjustRightInd w:val="0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При оказании услуг Исполнитель обязуется обеспечить </w:t>
            </w:r>
            <w:r w:rsidRPr="00385862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нераспространение персональных данных сотрудников </w:t>
            </w:r>
            <w:r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заказчика </w:t>
            </w:r>
            <w:r w:rsidRPr="00385862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и их маршруты передвижения.</w:t>
            </w:r>
          </w:p>
        </w:tc>
      </w:tr>
      <w:tr w:rsidR="00167C2D" w:rsidTr="004D5918">
        <w:tc>
          <w:tcPr>
            <w:tcW w:w="567" w:type="dxa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67C2D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.3</w:t>
            </w:r>
            <w:r w:rsidR="00167C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167C2D" w:rsidRPr="0089353F" w:rsidRDefault="00167C2D" w:rsidP="004D5918">
            <w:pPr>
              <w:shd w:val="clear" w:color="auto" w:fill="FFFFFF"/>
              <w:spacing w:after="60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(услуги)</w:t>
            </w:r>
          </w:p>
        </w:tc>
        <w:tc>
          <w:tcPr>
            <w:tcW w:w="5528" w:type="dxa"/>
            <w:vAlign w:val="center"/>
          </w:tcPr>
          <w:p w:rsidR="00167C2D" w:rsidRPr="0089353F" w:rsidRDefault="00167C2D" w:rsidP="004D5918">
            <w:pPr>
              <w:shd w:val="clear" w:color="auto" w:fill="FFFFFF"/>
              <w:spacing w:after="60"/>
              <w:ind w:firstLine="460"/>
              <w:jc w:val="both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Авиабилеты должны соответствовать требованиям, установленным Воздушным кодексом Российской Федерации, а также Общим правилам воздушных перевозок пассажиров, багажа, грузов и требования к обслуживанию пассажиров, грузоотправителей, грузополучателей, утвержденным приказом Минтранса России от 28.06.2007 г. №82 ФЗ.</w:t>
            </w:r>
          </w:p>
          <w:p w:rsidR="00167C2D" w:rsidRPr="00412323" w:rsidRDefault="00167C2D" w:rsidP="004D5918">
            <w:pPr>
              <w:shd w:val="clear" w:color="auto" w:fill="FFFFFF"/>
              <w:spacing w:after="60"/>
              <w:ind w:firstLine="602"/>
              <w:jc w:val="both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 w:rsidRPr="0089353F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 xml:space="preserve">Порядок оформления железнодорожных билетов в соответствии с Федеральным законом от 10.01.2003 №18 ФЗ “Устав железнодорожного транспорта Российской Федерации”. </w:t>
            </w:r>
          </w:p>
        </w:tc>
      </w:tr>
      <w:tr w:rsidR="00167C2D" w:rsidTr="004D5918">
        <w:tc>
          <w:tcPr>
            <w:tcW w:w="567" w:type="dxa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67C2D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3119" w:type="dxa"/>
          </w:tcPr>
          <w:p w:rsidR="00167C2D" w:rsidRDefault="00167C2D" w:rsidP="004D59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техническим характеристик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ам применяемых материалов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используемым при выполнении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(оказании услуг)</w:t>
            </w:r>
          </w:p>
        </w:tc>
        <w:tc>
          <w:tcPr>
            <w:tcW w:w="5528" w:type="dxa"/>
            <w:vAlign w:val="center"/>
          </w:tcPr>
          <w:p w:rsidR="00167C2D" w:rsidRDefault="00167C2D" w:rsidP="004D5918">
            <w:pPr>
              <w:ind w:firstLine="59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установлены.</w:t>
            </w:r>
          </w:p>
        </w:tc>
      </w:tr>
      <w:tr w:rsidR="00167C2D" w:rsidTr="004D5918">
        <w:tc>
          <w:tcPr>
            <w:tcW w:w="567" w:type="dxa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67C2D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.5</w:t>
            </w:r>
            <w:r w:rsidR="00167C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функциональным характеристикам (потребительским свойствам) товара, используемого при выполнении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(оказании услуг)</w:t>
            </w:r>
          </w:p>
        </w:tc>
        <w:tc>
          <w:tcPr>
            <w:tcW w:w="5528" w:type="dxa"/>
            <w:vAlign w:val="center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ind w:firstLine="59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167C2D" w:rsidTr="004D5918">
        <w:tc>
          <w:tcPr>
            <w:tcW w:w="567" w:type="dxa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67C2D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.6</w:t>
            </w:r>
            <w:r w:rsidR="00167C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528" w:type="dxa"/>
            <w:vAlign w:val="center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ind w:firstLine="59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167C2D" w:rsidTr="004D5918">
        <w:tc>
          <w:tcPr>
            <w:tcW w:w="567" w:type="dxa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67C2D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.7</w:t>
            </w:r>
            <w:r w:rsidR="00167C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528" w:type="dxa"/>
            <w:vAlign w:val="center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ind w:firstLine="59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167C2D" w:rsidTr="004D5918">
        <w:tc>
          <w:tcPr>
            <w:tcW w:w="567" w:type="dxa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67C2D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.8</w:t>
            </w:r>
            <w:r w:rsidR="00167C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предоставлению документов (билетов)</w:t>
            </w:r>
          </w:p>
        </w:tc>
        <w:tc>
          <w:tcPr>
            <w:tcW w:w="5528" w:type="dxa"/>
            <w:vAlign w:val="center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ind w:firstLine="59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Билеты предоставляются в виде </w:t>
            </w:r>
            <w:r w:rsidRPr="00B640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электронных документов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доставкой курьерской службой на бумажном носителе (Приложение 1).</w:t>
            </w:r>
          </w:p>
        </w:tc>
      </w:tr>
      <w:tr w:rsidR="00167C2D" w:rsidTr="004D5918">
        <w:tc>
          <w:tcPr>
            <w:tcW w:w="567" w:type="dxa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67C2D"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.9</w:t>
            </w:r>
            <w:r w:rsidR="00167C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(услуги)</w:t>
            </w:r>
          </w:p>
        </w:tc>
        <w:tc>
          <w:tcPr>
            <w:tcW w:w="5528" w:type="dxa"/>
            <w:vAlign w:val="center"/>
          </w:tcPr>
          <w:p w:rsidR="00167C2D" w:rsidRPr="002674EA" w:rsidRDefault="00640BFE" w:rsidP="002674EA">
            <w:pPr>
              <w:widowControl w:val="0"/>
              <w:autoSpaceDE w:val="0"/>
              <w:autoSpaceDN w:val="0"/>
              <w:adjustRightInd w:val="0"/>
              <w:ind w:firstLine="59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Сдача-приемка оказанных услуг оформляется сторонами актом выполненных работ (отчетом об исполнении обязательств), в котором указывается наименование, факт</w:t>
            </w:r>
            <w:r w:rsidR="002674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ический объем выполненных работ (приобретения, обмены, возвраты, комиссионные сборы)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всего оказано услуг к оплате. </w:t>
            </w:r>
            <w:r w:rsidRPr="00C5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Оригиналы актов выполненных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(отчетов об исполнении обязательств)</w:t>
            </w:r>
            <w:r w:rsidRPr="00C5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Исполнитель передает Заказчику за каждые 10 (десять календарны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дней). За первую декаду, до 15</w:t>
            </w:r>
            <w:r w:rsidRPr="00C5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текущего месяца, за вторую декаду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25</w:t>
            </w:r>
            <w:r w:rsidRPr="00C55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текущего месяца, за третью декаду, до 5 числа месяца, следующего за отчетным.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E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актам выполненных работ (отчетам об исполнении обязательств) должны быть приложены необходимые доказательства расходов, т.е. копии первичных документов (счетов, счетов-фактур, актов об оказании услуг и т.п.),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связанных с осуществлением обязанностей, предусмотренных договором.</w:t>
            </w:r>
          </w:p>
        </w:tc>
      </w:tr>
      <w:tr w:rsidR="00167C2D" w:rsidTr="004D5918">
        <w:tc>
          <w:tcPr>
            <w:tcW w:w="567" w:type="dxa"/>
            <w:vMerge w:val="restart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47" w:type="dxa"/>
            <w:gridSpan w:val="2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выполнения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(оказания услуг)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67C2D" w:rsidTr="004D5918">
        <w:tc>
          <w:tcPr>
            <w:tcW w:w="567" w:type="dxa"/>
            <w:vMerge/>
            <w:vAlign w:val="center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ind w:firstLine="74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Екатеринбург, ул. Мамина Сибиряка,145 (по месту нахождения заказчика).</w:t>
            </w:r>
          </w:p>
        </w:tc>
      </w:tr>
      <w:tr w:rsidR="00167C2D" w:rsidTr="004D5918">
        <w:tc>
          <w:tcPr>
            <w:tcW w:w="567" w:type="dxa"/>
            <w:vMerge w:val="restart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47" w:type="dxa"/>
            <w:gridSpan w:val="2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выполнения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(оказания услуг)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67C2D" w:rsidTr="004D5918">
        <w:tc>
          <w:tcPr>
            <w:tcW w:w="567" w:type="dxa"/>
            <w:vMerge/>
            <w:vAlign w:val="center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договора.</w:t>
            </w:r>
          </w:p>
        </w:tc>
      </w:tr>
      <w:tr w:rsidR="00167C2D" w:rsidTr="004D5918">
        <w:tc>
          <w:tcPr>
            <w:tcW w:w="567" w:type="dxa"/>
            <w:vMerge w:val="restart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647" w:type="dxa"/>
            <w:gridSpan w:val="2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(оказанных услуг)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67C2D" w:rsidTr="004D5918">
        <w:tc>
          <w:tcPr>
            <w:tcW w:w="567" w:type="dxa"/>
            <w:vMerge/>
            <w:vAlign w:val="center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167C2D" w:rsidTr="004D5918">
        <w:tc>
          <w:tcPr>
            <w:tcW w:w="567" w:type="dxa"/>
            <w:vMerge w:val="restart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647" w:type="dxa"/>
            <w:gridSpan w:val="2"/>
          </w:tcPr>
          <w:p w:rsidR="00167C2D" w:rsidRPr="00F43060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Цена договора/единицы продукции (услуги)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</w:tr>
      <w:tr w:rsidR="00167C2D" w:rsidTr="004D5918">
        <w:trPr>
          <w:trHeight w:val="420"/>
        </w:trPr>
        <w:tc>
          <w:tcPr>
            <w:tcW w:w="567" w:type="dxa"/>
            <w:vMerge/>
            <w:vAlign w:val="center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Pr="00FB6EB2" w:rsidRDefault="00167C2D" w:rsidP="004D5918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>НМЦ договора сформирована с учетом НДС, как максимально возможная сумма всех платежей по договору за услуги, которые будут оказаны по договору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67C2D" w:rsidRPr="00FB6EB2" w:rsidRDefault="00167C2D" w:rsidP="004D5918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 процедуры закупки указывает в своей заявке на участие в закупке цену каждой единицы услуги. </w:t>
            </w:r>
          </w:p>
          <w:p w:rsidR="00167C2D" w:rsidRPr="00FB6EB2" w:rsidRDefault="00167C2D" w:rsidP="004D5918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Кроме того, участник процедуры закупки должен предложить одинаковый размер (процент) снижения в отношении всех стоимостных величин единиц продукции. </w:t>
            </w:r>
          </w:p>
          <w:p w:rsidR="00167C2D" w:rsidRPr="00FB6EB2" w:rsidRDefault="00167C2D" w:rsidP="004D5918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Цена каждой единицы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услуги</w:t>
            </w: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может превышать размер НМЦ единицы услуги, указанной в разделе </w:t>
            </w:r>
            <w:r w:rsidR="00640BF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Технического задания при заключении договора по итогам закупки.</w:t>
            </w:r>
          </w:p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EB2">
              <w:rPr>
                <w:rFonts w:ascii="Times New Roman" w:eastAsia="Calibri" w:hAnsi="Times New Roman" w:cs="Times New Roman"/>
                <w:sz w:val="24"/>
                <w:szCs w:val="24"/>
              </w:rPr>
              <w:t>В цену каждой единицы услуги включаются затраты Исполнителя (Победителя открытого запроса предложений), связанные с оказанием услуг в соответствии с требованиями Технического задания и условиями договора, уплатой налогов и других обязательных платежей.</w:t>
            </w:r>
          </w:p>
        </w:tc>
      </w:tr>
      <w:tr w:rsidR="00167C2D" w:rsidTr="004D5918">
        <w:tc>
          <w:tcPr>
            <w:tcW w:w="567" w:type="dxa"/>
            <w:vMerge w:val="restart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8647" w:type="dxa"/>
            <w:gridSpan w:val="2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участникам закупки:</w:t>
            </w:r>
          </w:p>
        </w:tc>
      </w:tr>
      <w:tr w:rsidR="00167C2D" w:rsidTr="004D5918">
        <w:tc>
          <w:tcPr>
            <w:tcW w:w="567" w:type="dxa"/>
            <w:vMerge/>
            <w:vAlign w:val="center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4B67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подразделом 10.4 Положения о закупке</w:t>
            </w:r>
          </w:p>
        </w:tc>
      </w:tr>
      <w:tr w:rsidR="00167C2D" w:rsidTr="004D5918">
        <w:tc>
          <w:tcPr>
            <w:tcW w:w="567" w:type="dxa"/>
            <w:vMerge w:val="restart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647" w:type="dxa"/>
            <w:gridSpan w:val="2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(оказанию услуг)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67C2D" w:rsidTr="004D5918">
        <w:tc>
          <w:tcPr>
            <w:tcW w:w="567" w:type="dxa"/>
            <w:vMerge/>
            <w:vAlign w:val="center"/>
          </w:tcPr>
          <w:p w:rsidR="00167C2D" w:rsidRPr="004351FB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Pr="00954F87" w:rsidRDefault="00167C2D" w:rsidP="00167C2D">
            <w:pPr>
              <w:pStyle w:val="a4"/>
              <w:keepNext/>
              <w:numPr>
                <w:ilvl w:val="0"/>
                <w:numId w:val="2"/>
              </w:numPr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Оперативность обработки заявок, внесения изменени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й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при необходимости в бронирование, аннулирование регистрации.</w:t>
            </w:r>
          </w:p>
          <w:p w:rsidR="00167C2D" w:rsidRPr="00954F87" w:rsidRDefault="00167C2D" w:rsidP="00167C2D">
            <w:pPr>
              <w:pStyle w:val="a4"/>
              <w:keepNext/>
              <w:numPr>
                <w:ilvl w:val="0"/>
                <w:numId w:val="2"/>
              </w:numPr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Оказание услуг по договору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по предоплате безналичным расчетом, возможность работы по 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отсрочке платежа до 30 дней.</w:t>
            </w:r>
          </w:p>
          <w:p w:rsidR="00167C2D" w:rsidRPr="00954F87" w:rsidRDefault="00167C2D" w:rsidP="00167C2D">
            <w:pPr>
              <w:pStyle w:val="a4"/>
              <w:keepNext/>
              <w:numPr>
                <w:ilvl w:val="0"/>
                <w:numId w:val="2"/>
              </w:numPr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Обязательное н</w:t>
            </w:r>
            <w:r w:rsidRPr="00954F87">
              <w:rPr>
                <w:rFonts w:ascii="Times New Roman" w:eastAsia="Calibri" w:hAnsi="Times New Roman" w:cs="Times New Roman"/>
                <w:sz w:val="24"/>
                <w:szCs w:val="21"/>
                <w:lang w:eastAsia="ru-RU"/>
              </w:rPr>
              <w:t>аличие персонального менеджера по бронированию и общим вопросам.</w:t>
            </w:r>
          </w:p>
          <w:p w:rsidR="00167C2D" w:rsidRPr="00954F87" w:rsidRDefault="00167C2D" w:rsidP="00167C2D">
            <w:pPr>
              <w:pStyle w:val="a4"/>
              <w:keepNext/>
              <w:numPr>
                <w:ilvl w:val="0"/>
                <w:numId w:val="2"/>
              </w:numPr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П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риобретение билетов круглосуточно (в том числе в выходные и праздничные дни)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через персонального менеджера, с учетом п.2.5, 2.8, 2.9 договора.</w:t>
            </w:r>
          </w:p>
          <w:p w:rsidR="00167C2D" w:rsidRPr="00954F87" w:rsidRDefault="00167C2D" w:rsidP="00167C2D">
            <w:pPr>
              <w:pStyle w:val="a4"/>
              <w:keepNext/>
              <w:numPr>
                <w:ilvl w:val="0"/>
                <w:numId w:val="2"/>
              </w:numPr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Предоставление справки либо другие подтверждающие документы по удержанию штрафов, сборов за обмен и возврат билетов.</w:t>
            </w:r>
          </w:p>
        </w:tc>
      </w:tr>
      <w:tr w:rsidR="00167C2D" w:rsidTr="004D5918">
        <w:tc>
          <w:tcPr>
            <w:tcW w:w="567" w:type="dxa"/>
            <w:vMerge w:val="restart"/>
            <w:vAlign w:val="center"/>
          </w:tcPr>
          <w:p w:rsidR="00167C2D" w:rsidRPr="004351FB" w:rsidRDefault="00640BFE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647" w:type="dxa"/>
            <w:gridSpan w:val="2"/>
          </w:tcPr>
          <w:p w:rsidR="00167C2D" w:rsidRPr="00F35935" w:rsidRDefault="00167C2D" w:rsidP="004D59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93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заявки:</w:t>
            </w:r>
          </w:p>
        </w:tc>
      </w:tr>
      <w:tr w:rsidR="00167C2D" w:rsidTr="004D5918">
        <w:tc>
          <w:tcPr>
            <w:tcW w:w="567" w:type="dxa"/>
            <w:vMerge/>
            <w:vAlign w:val="center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Pr="00F35935" w:rsidRDefault="00167C2D" w:rsidP="004D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935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составляет 0,5 % от начальной (максимальной) цены договора, то есть 160 000,00 руб. </w:t>
            </w:r>
          </w:p>
        </w:tc>
      </w:tr>
      <w:tr w:rsidR="00167C2D" w:rsidTr="004D5918">
        <w:tc>
          <w:tcPr>
            <w:tcW w:w="567" w:type="dxa"/>
            <w:vMerge w:val="restart"/>
            <w:vAlign w:val="center"/>
          </w:tcPr>
          <w:p w:rsidR="00167C2D" w:rsidRDefault="00640BFE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647" w:type="dxa"/>
            <w:gridSpan w:val="2"/>
          </w:tcPr>
          <w:p w:rsidR="00167C2D" w:rsidRPr="00F35935" w:rsidRDefault="00167C2D" w:rsidP="004D59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593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договора:</w:t>
            </w:r>
          </w:p>
        </w:tc>
      </w:tr>
      <w:tr w:rsidR="00167C2D" w:rsidTr="004D5918">
        <w:tc>
          <w:tcPr>
            <w:tcW w:w="567" w:type="dxa"/>
            <w:vMerge/>
            <w:vAlign w:val="center"/>
          </w:tcPr>
          <w:p w:rsidR="00167C2D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Pr="00F35935" w:rsidRDefault="00167C2D" w:rsidP="004D5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935">
              <w:rPr>
                <w:rFonts w:ascii="Times New Roman" w:hAnsi="Times New Roman" w:cs="Times New Roman"/>
                <w:sz w:val="24"/>
                <w:szCs w:val="24"/>
              </w:rPr>
              <w:t>Размер обеспечения договора составляет  5 % от начальной (максимальной) цены договора.</w:t>
            </w:r>
          </w:p>
        </w:tc>
      </w:tr>
      <w:tr w:rsidR="00167C2D" w:rsidTr="004D5918">
        <w:tc>
          <w:tcPr>
            <w:tcW w:w="567" w:type="dxa"/>
            <w:vMerge w:val="restart"/>
          </w:tcPr>
          <w:p w:rsidR="00167C2D" w:rsidRPr="004C4F8C" w:rsidRDefault="00640BFE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647" w:type="dxa"/>
            <w:gridSpan w:val="2"/>
          </w:tcPr>
          <w:p w:rsidR="00167C2D" w:rsidRPr="00954F87" w:rsidRDefault="00167C2D" w:rsidP="004D5918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4F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Участник должен сделать предложение по следующим критериям:</w:t>
            </w:r>
          </w:p>
        </w:tc>
      </w:tr>
      <w:tr w:rsidR="00167C2D" w:rsidTr="004D5918">
        <w:tc>
          <w:tcPr>
            <w:tcW w:w="567" w:type="dxa"/>
            <w:vMerge/>
          </w:tcPr>
          <w:p w:rsidR="00167C2D" w:rsidRPr="004C4F8C" w:rsidRDefault="00167C2D" w:rsidP="004D59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gridSpan w:val="2"/>
          </w:tcPr>
          <w:p w:rsidR="00167C2D" w:rsidRPr="00954F87" w:rsidRDefault="00317D8F" w:rsidP="004D5918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1</w:t>
            </w:r>
            <w:r w:rsidR="00167C2D"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</w:t>
            </w:r>
            <w:r w:rsidR="00167C2D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="00167C2D" w:rsidRPr="00954F87">
              <w:rPr>
                <w:rFonts w:ascii="Times New Roman" w:eastAsia="Times New Roman" w:hAnsi="Times New Roman" w:cs="Times New Roman"/>
                <w:iCs/>
                <w:sz w:val="24"/>
                <w:szCs w:val="21"/>
                <w:lang w:eastAsia="ru-RU"/>
              </w:rPr>
              <w:t>Для оценки участников по критерию</w:t>
            </w:r>
            <w:r w:rsidR="00167C2D"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«цена за единицу продукции»</w:t>
            </w:r>
            <w:r w:rsidR="00167C2D" w:rsidRPr="00954F87">
              <w:rPr>
                <w:rFonts w:ascii="Times New Roman" w:eastAsia="Times New Roman" w:hAnsi="Times New Roman" w:cs="Times New Roman"/>
                <w:iCs/>
                <w:sz w:val="24"/>
                <w:szCs w:val="21"/>
                <w:lang w:eastAsia="ru-RU"/>
              </w:rPr>
              <w:t xml:space="preserve"> Участник процедуры закупки указывает в заявке </w:t>
            </w:r>
            <w:r w:rsidR="00167C2D" w:rsidRPr="00954F87">
              <w:rPr>
                <w:rFonts w:ascii="Times New Roman" w:eastAsia="Times New Roman" w:hAnsi="Times New Roman" w:cs="Times New Roman"/>
                <w:iCs/>
                <w:sz w:val="24"/>
                <w:szCs w:val="21"/>
                <w:u w:val="single"/>
                <w:lang w:eastAsia="ru-RU"/>
              </w:rPr>
              <w:t>одинаковый размер (процент) снижения</w:t>
            </w:r>
            <w:r w:rsidR="00167C2D" w:rsidRPr="00954F87">
              <w:rPr>
                <w:rFonts w:ascii="Times New Roman" w:eastAsia="Times New Roman" w:hAnsi="Times New Roman" w:cs="Times New Roman"/>
                <w:iCs/>
                <w:sz w:val="24"/>
                <w:szCs w:val="21"/>
                <w:lang w:eastAsia="ru-RU"/>
              </w:rPr>
              <w:t xml:space="preserve"> в отношении всех стоимостных в</w:t>
            </w:r>
            <w:r w:rsidR="00167C2D">
              <w:rPr>
                <w:rFonts w:ascii="Times New Roman" w:eastAsia="Times New Roman" w:hAnsi="Times New Roman" w:cs="Times New Roman"/>
                <w:iCs/>
                <w:sz w:val="24"/>
                <w:szCs w:val="21"/>
                <w:lang w:eastAsia="ru-RU"/>
              </w:rPr>
              <w:t>еличин единиц продукции (услуг) (значимость критерия – 70%):</w:t>
            </w:r>
          </w:p>
          <w:p w:rsidR="00F866E3" w:rsidRDefault="00F866E3" w:rsidP="00F866E3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left="34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</w:pP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1)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комис</w:t>
            </w:r>
            <w:r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сионный сбор за оформление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авиабилета </w:t>
            </w:r>
            <w:r w:rsidRPr="00954F87">
              <w:rPr>
                <w:rFonts w:ascii="Times New Roman" w:eastAsia="Times New Roman" w:hAnsi="Times New Roman" w:cs="Times New Roman"/>
                <w:i/>
                <w:sz w:val="24"/>
                <w:szCs w:val="21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250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 xml:space="preserve"> руб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. (в </w:t>
            </w:r>
            <w:proofErr w:type="spellStart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т.ч</w:t>
            </w:r>
            <w:proofErr w:type="spellEnd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 НДС) за 1 у.е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.;</w:t>
            </w:r>
          </w:p>
          <w:p w:rsidR="00F866E3" w:rsidRPr="00954F87" w:rsidRDefault="00F866E3" w:rsidP="00F866E3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left="34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 xml:space="preserve">2) 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комиссионный сбор за обмен авиабилета </w:t>
            </w:r>
            <w:r w:rsidRPr="00954F87">
              <w:rPr>
                <w:rFonts w:ascii="Times New Roman" w:eastAsia="Times New Roman" w:hAnsi="Times New Roman" w:cs="Times New Roman"/>
                <w:i/>
                <w:sz w:val="24"/>
                <w:szCs w:val="21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250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 xml:space="preserve"> руб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. (в </w:t>
            </w:r>
            <w:proofErr w:type="spellStart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т.ч</w:t>
            </w:r>
            <w:proofErr w:type="spellEnd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 НДС) за 1 у.е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.;</w:t>
            </w:r>
          </w:p>
          <w:p w:rsidR="00F866E3" w:rsidRPr="00954F87" w:rsidRDefault="00F866E3" w:rsidP="00F866E3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left="34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3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)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комиссионный сбор за возврат авиабилета </w:t>
            </w:r>
            <w:r w:rsidRPr="00954F87">
              <w:rPr>
                <w:rFonts w:ascii="Times New Roman" w:eastAsia="Times New Roman" w:hAnsi="Times New Roman" w:cs="Times New Roman"/>
                <w:i/>
                <w:sz w:val="24"/>
                <w:szCs w:val="21"/>
                <w:lang w:eastAsia="ru-RU"/>
              </w:rPr>
              <w:t>не более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25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0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руб.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(в </w:t>
            </w:r>
            <w:proofErr w:type="spellStart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т.ч</w:t>
            </w:r>
            <w:proofErr w:type="spellEnd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 НДС) за 1 у.е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.;</w:t>
            </w:r>
          </w:p>
          <w:p w:rsidR="00F866E3" w:rsidRDefault="00F866E3" w:rsidP="00F866E3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left="34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4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)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комиссионный сбор за оформление железнодорожного билета </w:t>
            </w:r>
            <w:r w:rsidRPr="00954F87">
              <w:rPr>
                <w:rFonts w:ascii="Times New Roman" w:eastAsia="Times New Roman" w:hAnsi="Times New Roman" w:cs="Times New Roman"/>
                <w:i/>
                <w:sz w:val="24"/>
                <w:szCs w:val="21"/>
                <w:lang w:eastAsia="ru-RU"/>
              </w:rPr>
              <w:t>не более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25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0 руб.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(в </w:t>
            </w:r>
            <w:proofErr w:type="spellStart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т.ч</w:t>
            </w:r>
            <w:proofErr w:type="spellEnd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 НДС) за 1 у.е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</w:t>
            </w:r>
          </w:p>
          <w:p w:rsidR="00F866E3" w:rsidRPr="000D2BAC" w:rsidRDefault="00F866E3" w:rsidP="00F866E3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left="34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 xml:space="preserve">5) 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комиссионный сбор за возврат железнодорожного билета </w:t>
            </w:r>
            <w:r w:rsidRPr="00954F87">
              <w:rPr>
                <w:rFonts w:ascii="Times New Roman" w:eastAsia="Times New Roman" w:hAnsi="Times New Roman" w:cs="Times New Roman"/>
                <w:i/>
                <w:sz w:val="24"/>
                <w:szCs w:val="21"/>
                <w:lang w:eastAsia="ru-RU"/>
              </w:rPr>
              <w:t>не более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25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0 руб.</w:t>
            </w:r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(в </w:t>
            </w:r>
            <w:proofErr w:type="spellStart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т.ч</w:t>
            </w:r>
            <w:proofErr w:type="spellEnd"/>
            <w:r w:rsidRPr="00954F87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. НДС) за 1 у.е</w:t>
            </w:r>
            <w:r w:rsidRPr="00954F87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.</w:t>
            </w:r>
          </w:p>
          <w:p w:rsidR="00726811" w:rsidRPr="007870B9" w:rsidRDefault="00317D8F" w:rsidP="004D5918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left="34" w:firstLine="42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</w:pPr>
            <w:r w:rsidRPr="007870B9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2</w:t>
            </w:r>
            <w:r w:rsidR="00167C2D" w:rsidRPr="007870B9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 xml:space="preserve">. </w:t>
            </w:r>
            <w:r w:rsidR="00726811" w:rsidRPr="007870B9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 xml:space="preserve">Квалификация участника </w:t>
            </w:r>
            <w:r w:rsidR="00726811" w:rsidRPr="007870B9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(значимость критерия – 30%)</w:t>
            </w:r>
          </w:p>
          <w:p w:rsidR="00167C2D" w:rsidRPr="007870B9" w:rsidRDefault="00726811" w:rsidP="00747A59">
            <w:pPr>
              <w:pStyle w:val="a4"/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spacing w:after="0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7870B9">
              <w:rPr>
                <w:rFonts w:ascii="Times New Roman" w:eastAsia="Times New Roman" w:hAnsi="Times New Roman" w:cs="Times New Roman"/>
                <w:b/>
                <w:sz w:val="24"/>
                <w:szCs w:val="21"/>
                <w:lang w:eastAsia="ru-RU"/>
              </w:rPr>
              <w:t>2.1</w:t>
            </w:r>
            <w:r w:rsidRPr="007870B9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  <w:r w:rsidR="002674EA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Деловая р</w:t>
            </w:r>
            <w:r w:rsidR="00167C2D" w:rsidRPr="007870B9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епутация. Наличие </w:t>
            </w:r>
            <w:r w:rsidR="002674EA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документов, подтверждающие положительную деловую репутацию, а именно предоставление копий отзывов, благодарственных писем, грамот, дипломов. По данному </w:t>
            </w:r>
            <w:proofErr w:type="spellStart"/>
            <w:r w:rsidR="002674EA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подкритериюнаибольшее</w:t>
            </w:r>
            <w:proofErr w:type="spellEnd"/>
            <w:r w:rsidR="002674EA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количество баллов присуждается участнику, предоставившему наибольшее количество копий отзывов, благодарственных писем, грамот, дипломов (значимость подкритерия – 50%). </w:t>
            </w:r>
            <w:r w:rsidR="00167C2D" w:rsidRPr="007870B9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 </w:t>
            </w:r>
          </w:p>
          <w:p w:rsidR="00747A59" w:rsidRPr="00747A59" w:rsidRDefault="00747A59" w:rsidP="00747A59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747A59">
              <w:rPr>
                <w:rFonts w:ascii="Times New Roman" w:eastAsia="Times New Roman" w:hAnsi="Times New Roman" w:cs="Times New Roman"/>
                <w:b/>
                <w:bCs/>
                <w:sz w:val="24"/>
                <w:szCs w:val="21"/>
                <w:lang w:eastAsia="ru-RU"/>
              </w:rPr>
              <w:t>2.2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 xml:space="preserve"> Н</w:t>
            </w:r>
            <w:r w:rsidRPr="00747A59">
              <w:rPr>
                <w:rFonts w:ascii="Times New Roman" w:eastAsia="Times New Roman" w:hAnsi="Times New Roman" w:cs="Times New Roman"/>
                <w:bCs/>
                <w:sz w:val="24"/>
                <w:szCs w:val="21"/>
                <w:lang w:eastAsia="ru-RU"/>
              </w:rPr>
              <w:t xml:space="preserve">аличие опыта успешного оказания услуг </w:t>
            </w:r>
            <w:r w:rsidRPr="00747A59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сопоставимого характера и объема организациями любой организационно-правовой формы.</w:t>
            </w:r>
          </w:p>
          <w:p w:rsidR="00167A01" w:rsidRDefault="00167A01" w:rsidP="00167A01">
            <w:pPr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 сопоставимым характером понимается успешный опыт оказания услуг по комплексному обслуживанию по приобретению авиа и железнодорожных билетов.</w:t>
            </w:r>
          </w:p>
          <w:p w:rsidR="00C936E9" w:rsidRDefault="00167A01" w:rsidP="00C936E9">
            <w:pPr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 сопоставимым объёмом понимается исполнение договора с ценой не менее 500 0000.</w:t>
            </w:r>
          </w:p>
          <w:p w:rsidR="00396F3A" w:rsidRPr="00C936E9" w:rsidRDefault="007E4676" w:rsidP="00F46F10">
            <w:pPr>
              <w:ind w:firstLine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4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зачета одного года опыта участника закупки необходимо указание не менее одного законченного контракта (договора) </w:t>
            </w:r>
            <w:r w:rsidR="00C936E9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(значимость подкритерия – 50%);</w:t>
            </w:r>
          </w:p>
        </w:tc>
      </w:tr>
    </w:tbl>
    <w:p w:rsidR="00167C2D" w:rsidRDefault="00167C2D" w:rsidP="00167C2D">
      <w:pPr>
        <w:spacing w:after="60" w:line="240" w:lineRule="auto"/>
        <w:ind w:left="851"/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:rsidR="00167C2D" w:rsidRDefault="00167C2D" w:rsidP="00167C2D">
      <w:pPr>
        <w:spacing w:after="60" w:line="240" w:lineRule="auto"/>
        <w:ind w:left="851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396F3A" w:rsidRDefault="00396F3A" w:rsidP="00167C2D">
      <w:pPr>
        <w:spacing w:after="60" w:line="240" w:lineRule="auto"/>
        <w:ind w:left="851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167C2D" w:rsidRDefault="00167C2D" w:rsidP="00747A59">
      <w:pPr>
        <w:spacing w:after="60" w:line="240" w:lineRule="auto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</w:p>
    <w:sectPr w:rsidR="00167C2D" w:rsidSect="00747A59">
      <w:pgSz w:w="11906" w:h="16838"/>
      <w:pgMar w:top="709" w:right="991" w:bottom="1106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84360"/>
    <w:multiLevelType w:val="hybridMultilevel"/>
    <w:tmpl w:val="E18443D0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 w15:restartNumberingAfterBreak="0">
    <w:nsid w:val="33E80A39"/>
    <w:multiLevelType w:val="hybridMultilevel"/>
    <w:tmpl w:val="A91ACA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BFB26BD"/>
    <w:multiLevelType w:val="hybridMultilevel"/>
    <w:tmpl w:val="A226F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A48C8"/>
    <w:multiLevelType w:val="hybridMultilevel"/>
    <w:tmpl w:val="D9F4FC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314A6"/>
    <w:rsid w:val="000938FC"/>
    <w:rsid w:val="000A216B"/>
    <w:rsid w:val="000A288F"/>
    <w:rsid w:val="000B2B47"/>
    <w:rsid w:val="000B4FBC"/>
    <w:rsid w:val="000E3EF7"/>
    <w:rsid w:val="00110FB0"/>
    <w:rsid w:val="00112BDD"/>
    <w:rsid w:val="001611D8"/>
    <w:rsid w:val="00167A01"/>
    <w:rsid w:val="00167C2D"/>
    <w:rsid w:val="001727C5"/>
    <w:rsid w:val="001744BA"/>
    <w:rsid w:val="00195498"/>
    <w:rsid w:val="001B6AA3"/>
    <w:rsid w:val="001C324C"/>
    <w:rsid w:val="001D66CC"/>
    <w:rsid w:val="002068FC"/>
    <w:rsid w:val="00244A4D"/>
    <w:rsid w:val="00252456"/>
    <w:rsid w:val="00256F3E"/>
    <w:rsid w:val="002674EA"/>
    <w:rsid w:val="0029753F"/>
    <w:rsid w:val="002D4FA9"/>
    <w:rsid w:val="002D75D1"/>
    <w:rsid w:val="003073F2"/>
    <w:rsid w:val="00317D8F"/>
    <w:rsid w:val="003530C3"/>
    <w:rsid w:val="003624F4"/>
    <w:rsid w:val="003648B0"/>
    <w:rsid w:val="00371999"/>
    <w:rsid w:val="00381D36"/>
    <w:rsid w:val="00385862"/>
    <w:rsid w:val="00396F3A"/>
    <w:rsid w:val="003C12FF"/>
    <w:rsid w:val="003C3987"/>
    <w:rsid w:val="003E5CAA"/>
    <w:rsid w:val="00412323"/>
    <w:rsid w:val="00417F52"/>
    <w:rsid w:val="004205EC"/>
    <w:rsid w:val="004351FB"/>
    <w:rsid w:val="004376FC"/>
    <w:rsid w:val="0045763F"/>
    <w:rsid w:val="004736D9"/>
    <w:rsid w:val="0048170F"/>
    <w:rsid w:val="004A0CD7"/>
    <w:rsid w:val="004B467C"/>
    <w:rsid w:val="004B67CA"/>
    <w:rsid w:val="004C4CBA"/>
    <w:rsid w:val="004C4F8C"/>
    <w:rsid w:val="004D6AB3"/>
    <w:rsid w:val="005226DD"/>
    <w:rsid w:val="00541F40"/>
    <w:rsid w:val="00546F54"/>
    <w:rsid w:val="00582DC1"/>
    <w:rsid w:val="00595782"/>
    <w:rsid w:val="00595AF4"/>
    <w:rsid w:val="005A00DB"/>
    <w:rsid w:val="005E38CF"/>
    <w:rsid w:val="006127CF"/>
    <w:rsid w:val="00625B0F"/>
    <w:rsid w:val="00626810"/>
    <w:rsid w:val="00632A37"/>
    <w:rsid w:val="00636212"/>
    <w:rsid w:val="00636C28"/>
    <w:rsid w:val="00640BFE"/>
    <w:rsid w:val="00645A26"/>
    <w:rsid w:val="00657128"/>
    <w:rsid w:val="0066182F"/>
    <w:rsid w:val="0066288A"/>
    <w:rsid w:val="00692790"/>
    <w:rsid w:val="006977F2"/>
    <w:rsid w:val="006C6C69"/>
    <w:rsid w:val="006E62F1"/>
    <w:rsid w:val="006E6D88"/>
    <w:rsid w:val="006F4F4D"/>
    <w:rsid w:val="00726811"/>
    <w:rsid w:val="00732DB7"/>
    <w:rsid w:val="00747A59"/>
    <w:rsid w:val="00760C81"/>
    <w:rsid w:val="00776488"/>
    <w:rsid w:val="00777CAF"/>
    <w:rsid w:val="007870B9"/>
    <w:rsid w:val="00787A0A"/>
    <w:rsid w:val="007A3D64"/>
    <w:rsid w:val="007A7679"/>
    <w:rsid w:val="007C2D3B"/>
    <w:rsid w:val="007D413F"/>
    <w:rsid w:val="007D491B"/>
    <w:rsid w:val="007E4676"/>
    <w:rsid w:val="007F7293"/>
    <w:rsid w:val="00802005"/>
    <w:rsid w:val="008129C7"/>
    <w:rsid w:val="00822FBD"/>
    <w:rsid w:val="00843EEC"/>
    <w:rsid w:val="00872F68"/>
    <w:rsid w:val="00881BB8"/>
    <w:rsid w:val="0089353F"/>
    <w:rsid w:val="008A3CFA"/>
    <w:rsid w:val="008B5A2C"/>
    <w:rsid w:val="00916274"/>
    <w:rsid w:val="0092045C"/>
    <w:rsid w:val="00924A7A"/>
    <w:rsid w:val="00931A34"/>
    <w:rsid w:val="009354A2"/>
    <w:rsid w:val="00937CB6"/>
    <w:rsid w:val="009409B1"/>
    <w:rsid w:val="00952F60"/>
    <w:rsid w:val="00954F87"/>
    <w:rsid w:val="009649C0"/>
    <w:rsid w:val="00972650"/>
    <w:rsid w:val="009A209C"/>
    <w:rsid w:val="009D5DB7"/>
    <w:rsid w:val="009E08A5"/>
    <w:rsid w:val="009E6B32"/>
    <w:rsid w:val="00A06AF3"/>
    <w:rsid w:val="00A43404"/>
    <w:rsid w:val="00A56609"/>
    <w:rsid w:val="00AA6383"/>
    <w:rsid w:val="00AA761A"/>
    <w:rsid w:val="00AD146D"/>
    <w:rsid w:val="00AF3F8B"/>
    <w:rsid w:val="00B1495D"/>
    <w:rsid w:val="00B25942"/>
    <w:rsid w:val="00B26866"/>
    <w:rsid w:val="00B279A8"/>
    <w:rsid w:val="00B36173"/>
    <w:rsid w:val="00B640A5"/>
    <w:rsid w:val="00B754C4"/>
    <w:rsid w:val="00B96576"/>
    <w:rsid w:val="00BE458B"/>
    <w:rsid w:val="00BF7CE1"/>
    <w:rsid w:val="00C51AE7"/>
    <w:rsid w:val="00C529AF"/>
    <w:rsid w:val="00C53764"/>
    <w:rsid w:val="00C55C85"/>
    <w:rsid w:val="00C7406A"/>
    <w:rsid w:val="00C90A5C"/>
    <w:rsid w:val="00C936E9"/>
    <w:rsid w:val="00CB6C27"/>
    <w:rsid w:val="00CC209A"/>
    <w:rsid w:val="00CD5583"/>
    <w:rsid w:val="00D01B37"/>
    <w:rsid w:val="00D11BC5"/>
    <w:rsid w:val="00D23150"/>
    <w:rsid w:val="00D355EB"/>
    <w:rsid w:val="00D36A41"/>
    <w:rsid w:val="00D42C36"/>
    <w:rsid w:val="00D4324A"/>
    <w:rsid w:val="00D50AE1"/>
    <w:rsid w:val="00D52023"/>
    <w:rsid w:val="00D57E8F"/>
    <w:rsid w:val="00DA16E2"/>
    <w:rsid w:val="00DD2640"/>
    <w:rsid w:val="00DE71CF"/>
    <w:rsid w:val="00DE7A0C"/>
    <w:rsid w:val="00E00F24"/>
    <w:rsid w:val="00E079A6"/>
    <w:rsid w:val="00E103A0"/>
    <w:rsid w:val="00E164C4"/>
    <w:rsid w:val="00E32CA3"/>
    <w:rsid w:val="00E364CC"/>
    <w:rsid w:val="00E86A7C"/>
    <w:rsid w:val="00E97409"/>
    <w:rsid w:val="00EC4C5F"/>
    <w:rsid w:val="00EC64DC"/>
    <w:rsid w:val="00ED200A"/>
    <w:rsid w:val="00F036EC"/>
    <w:rsid w:val="00F050A9"/>
    <w:rsid w:val="00F25919"/>
    <w:rsid w:val="00F35935"/>
    <w:rsid w:val="00F43060"/>
    <w:rsid w:val="00F46F10"/>
    <w:rsid w:val="00F5285F"/>
    <w:rsid w:val="00F611C3"/>
    <w:rsid w:val="00F8189D"/>
    <w:rsid w:val="00F866E3"/>
    <w:rsid w:val="00F86802"/>
    <w:rsid w:val="00F95930"/>
    <w:rsid w:val="00FB6EB2"/>
    <w:rsid w:val="00FC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9DD63"/>
  <w15:docId w15:val="{3F4BF195-0818-4DEF-B47F-09AEA09D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4C5F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1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9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Шангареева Инна Григорьевна</cp:lastModifiedBy>
  <cp:revision>5</cp:revision>
  <cp:lastPrinted>2023-03-22T04:32:00Z</cp:lastPrinted>
  <dcterms:created xsi:type="dcterms:W3CDTF">2023-06-08T04:53:00Z</dcterms:created>
  <dcterms:modified xsi:type="dcterms:W3CDTF">2023-06-16T09:20:00Z</dcterms:modified>
</cp:coreProperties>
</file>