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8D119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03</w:t>
      </w:r>
      <w:r w:rsidR="00FF223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8D119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6</w:t>
      </w:r>
      <w:r w:rsidR="004B3F5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4B3F50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4B3F50">
        <w:rPr>
          <w:color w:val="000000"/>
        </w:rPr>
        <w:t>И.А. Шамаева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4B3F50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</w:t>
      </w:r>
      <w:r w:rsidRPr="00741939">
        <w:rPr>
          <w:rFonts w:eastAsia="Calibri"/>
          <w:b/>
          <w:lang w:eastAsia="en-US"/>
        </w:rPr>
        <w:t xml:space="preserve">звещение </w:t>
      </w:r>
      <w:r>
        <w:rPr>
          <w:rFonts w:eastAsia="Calibri"/>
          <w:b/>
          <w:lang w:eastAsia="en-US"/>
        </w:rPr>
        <w:t>о проведении</w:t>
      </w:r>
    </w:p>
    <w:p w:rsidR="00E806BB" w:rsidRPr="00741939" w:rsidRDefault="004B3F50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3D79B0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Style w:val="af0"/>
          <w:rFonts w:eastAsia="Calibri"/>
        </w:rPr>
      </w:pPr>
    </w:p>
    <w:p w:rsidR="00002996" w:rsidRPr="003D79B0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Style w:val="af0"/>
          <w:b w:val="0"/>
        </w:rPr>
      </w:pPr>
      <w:r w:rsidRPr="003D79B0">
        <w:rPr>
          <w:rStyle w:val="af0"/>
        </w:rPr>
        <w:t xml:space="preserve">Предмет договора: </w:t>
      </w:r>
      <w:r w:rsidR="00C24302">
        <w:rPr>
          <w:rStyle w:val="af0"/>
          <w:b w:val="0"/>
        </w:rPr>
        <w:t xml:space="preserve">комплексное обслуживание по бронированию гостиниц для сотрудников АО «НПО </w:t>
      </w:r>
      <w:r w:rsidR="006B0A1B">
        <w:rPr>
          <w:rStyle w:val="af0"/>
          <w:b w:val="0"/>
        </w:rPr>
        <w:t>автоматики</w:t>
      </w:r>
      <w:r w:rsidR="00C24302">
        <w:rPr>
          <w:rStyle w:val="af0"/>
          <w:b w:val="0"/>
        </w:rPr>
        <w:t>»</w:t>
      </w:r>
      <w:r w:rsidR="009E68B7" w:rsidRPr="003D79B0">
        <w:rPr>
          <w:rStyle w:val="af0"/>
          <w:b w:val="0"/>
        </w:rPr>
        <w:t>.</w:t>
      </w:r>
    </w:p>
    <w:p w:rsidR="00002996" w:rsidRPr="003D79B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Style w:val="af0"/>
          <w:rFonts w:eastAsia="Calibri"/>
        </w:rPr>
      </w:pPr>
      <w:r w:rsidRPr="003D79B0">
        <w:rPr>
          <w:rStyle w:val="af0"/>
          <w:rFonts w:eastAsia="Calibri"/>
        </w:rPr>
        <w:t>2. Способ закупки (включая форму закупки и дополнительные элементы закупки):</w:t>
      </w:r>
    </w:p>
    <w:p w:rsidR="00002996" w:rsidRPr="003D79B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Style w:val="af0"/>
          <w:rFonts w:eastAsia="Calibri"/>
        </w:rPr>
      </w:pPr>
      <w:r w:rsidRPr="003D79B0">
        <w:rPr>
          <w:rStyle w:val="af0"/>
          <w:rFonts w:eastAsia="Calibri"/>
        </w:rPr>
        <w:t xml:space="preserve">Способ закупки: </w:t>
      </w:r>
      <w:r w:rsidRPr="003D79B0">
        <w:rPr>
          <w:rStyle w:val="af0"/>
          <w:rFonts w:eastAsia="Calibri"/>
          <w:b w:val="0"/>
        </w:rPr>
        <w:t>запрос предложений</w:t>
      </w:r>
      <w:r w:rsidR="003D79B0">
        <w:rPr>
          <w:rStyle w:val="af0"/>
          <w:rFonts w:eastAsia="Calibri"/>
          <w:b w:val="0"/>
        </w:rPr>
        <w:t xml:space="preserve"> в электронной форме</w:t>
      </w:r>
    </w:p>
    <w:p w:rsidR="00002996" w:rsidRPr="003D79B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Style w:val="af0"/>
          <w:rFonts w:eastAsia="Calibri"/>
        </w:rPr>
      </w:pPr>
      <w:r w:rsidRPr="003D79B0">
        <w:rPr>
          <w:rStyle w:val="af0"/>
          <w:rFonts w:eastAsia="Calibri"/>
        </w:rPr>
        <w:t xml:space="preserve">Форма закупки и </w:t>
      </w:r>
      <w:r w:rsidR="00FA0607" w:rsidRPr="003D79B0">
        <w:rPr>
          <w:rStyle w:val="af0"/>
          <w:rFonts w:eastAsia="Calibri"/>
        </w:rPr>
        <w:t xml:space="preserve">используемые </w:t>
      </w:r>
      <w:r w:rsidRPr="003D79B0">
        <w:rPr>
          <w:rStyle w:val="af0"/>
          <w:rFonts w:eastAsia="Calibri"/>
        </w:rPr>
        <w:t>дополнительные элементы закупки:</w:t>
      </w:r>
    </w:p>
    <w:p w:rsidR="00002996" w:rsidRPr="003D79B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Style w:val="af0"/>
          <w:rFonts w:eastAsia="Calibri"/>
        </w:rPr>
      </w:pPr>
      <w:r w:rsidRPr="003D79B0">
        <w:rPr>
          <w:rStyle w:val="af0"/>
          <w:rFonts w:eastAsia="Calibri"/>
        </w:rPr>
        <w:t xml:space="preserve">1) </w:t>
      </w:r>
      <w:r w:rsidR="002A2226" w:rsidRPr="003D79B0">
        <w:rPr>
          <w:rStyle w:val="af0"/>
          <w:rFonts w:eastAsia="Calibri"/>
        </w:rPr>
        <w:t>Открытая</w:t>
      </w:r>
      <w:r w:rsidRPr="003D79B0">
        <w:rPr>
          <w:rStyle w:val="af0"/>
          <w:rFonts w:eastAsia="Calibri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3D79B0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C24302">
        <w:rPr>
          <w:rFonts w:eastAsia="Calibri"/>
          <w:bCs/>
          <w:lang w:eastAsia="en-US"/>
        </w:rPr>
        <w:t>на 2024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C24302">
        <w:rPr>
          <w:rFonts w:eastAsia="Calibri"/>
          <w:bCs/>
          <w:lang w:eastAsia="en-US"/>
        </w:rPr>
        <w:t>58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2251CA" w:rsidRPr="002251CA">
        <w:rPr>
          <w:rFonts w:eastAsia="Calibri"/>
          <w:lang w:eastAsia="en-US"/>
        </w:rPr>
        <w:t>объем является приблизительным и будет складываться из объема фактически оказываемых услуг, при этом Заказчик не несет никакой ответственности за неполную выборку услуг.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C24302">
        <w:rPr>
          <w:rFonts w:eastAsia="Calibri"/>
          <w:lang w:eastAsia="en-US"/>
        </w:rPr>
        <w:t>в соответствии с проектом договора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F223A" w:rsidRPr="00431F6B">
        <w:rPr>
          <w:rFonts w:eastAsia="Calibri"/>
          <w:lang w:eastAsia="en-US"/>
        </w:rPr>
        <w:t xml:space="preserve">НМЦ, как максимально возможная сумма всех платежей по договору: </w:t>
      </w:r>
      <w:r w:rsidR="00FF223A">
        <w:rPr>
          <w:rFonts w:eastAsia="Calibri"/>
          <w:lang w:eastAsia="en-US"/>
        </w:rPr>
        <w:t>42 000 000 (Сорок два миллиона)</w:t>
      </w:r>
      <w:r w:rsidR="00FF223A" w:rsidRPr="00431F6B">
        <w:rPr>
          <w:rFonts w:eastAsia="Calibri"/>
          <w:lang w:eastAsia="en-US"/>
        </w:rPr>
        <w:t xml:space="preserve"> руб</w:t>
      </w:r>
      <w:r w:rsidR="00B14675">
        <w:rPr>
          <w:rFonts w:eastAsia="Calibri"/>
          <w:lang w:eastAsia="en-US"/>
        </w:rPr>
        <w:t xml:space="preserve">лей 00 копеек, </w:t>
      </w:r>
    </w:p>
    <w:p w:rsidR="00B14675" w:rsidRDefault="00FF223A" w:rsidP="00B14675">
      <w:pPr>
        <w:spacing w:before="20"/>
        <w:ind w:firstLine="1560"/>
        <w:jc w:val="both"/>
        <w:rPr>
          <w:rFonts w:eastAsia="Calibri"/>
          <w:b/>
          <w:lang w:eastAsia="en-US"/>
        </w:rPr>
      </w:pPr>
      <w:r w:rsidRPr="00B14675">
        <w:rPr>
          <w:b/>
        </w:rPr>
        <w:t xml:space="preserve">Начальная максимальная </w:t>
      </w:r>
      <w:r w:rsidR="00B14675" w:rsidRPr="00B14675">
        <w:rPr>
          <w:b/>
        </w:rPr>
        <w:t>цена единицы услуги (комиссионный сбор)</w:t>
      </w:r>
      <w:r w:rsidRPr="00B14675">
        <w:rPr>
          <w:b/>
        </w:rPr>
        <w:t>:</w:t>
      </w:r>
    </w:p>
    <w:p w:rsidR="00B14675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1)</w:t>
      </w:r>
      <w:r w:rsidRPr="00FF223A">
        <w:t xml:space="preserve"> комиссионный сбор за услугу по бронированию гостиницы </w:t>
      </w:r>
      <w:r w:rsidRPr="00FF223A">
        <w:rPr>
          <w:i/>
        </w:rPr>
        <w:t xml:space="preserve">не более </w:t>
      </w:r>
      <w:r w:rsidR="00C24302">
        <w:rPr>
          <w:b/>
        </w:rPr>
        <w:t>85</w:t>
      </w:r>
      <w:r w:rsidRPr="00FF223A">
        <w:rPr>
          <w:b/>
        </w:rPr>
        <w:t xml:space="preserve"> руб</w:t>
      </w:r>
      <w:r w:rsidRPr="00FF223A">
        <w:t>. за 1 у.е</w:t>
      </w:r>
      <w:r w:rsidRPr="00FF223A">
        <w:rPr>
          <w:b/>
        </w:rPr>
        <w:t>.</w:t>
      </w:r>
      <w:r w:rsidR="00C24302">
        <w:rPr>
          <w:b/>
        </w:rPr>
        <w:t xml:space="preserve">, </w:t>
      </w:r>
      <w:r w:rsidR="00C24302" w:rsidRPr="00C24302">
        <w:t xml:space="preserve">включая </w:t>
      </w:r>
      <w:r w:rsidR="00C24302">
        <w:t xml:space="preserve">все </w:t>
      </w:r>
      <w:r w:rsidR="00C24302" w:rsidRPr="00C24302">
        <w:t>налоги, сборы и обязательные платежи</w:t>
      </w:r>
      <w:r w:rsidRPr="00FF223A">
        <w:rPr>
          <w:b/>
        </w:rPr>
        <w:t>;</w:t>
      </w:r>
    </w:p>
    <w:p w:rsidR="00B14675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2)</w:t>
      </w:r>
      <w:r w:rsidRPr="00FF223A">
        <w:t xml:space="preserve"> комиссионный сбор за услугу по отмене бронирования гостиницы </w:t>
      </w:r>
      <w:r w:rsidR="00C24302" w:rsidRPr="00FF223A">
        <w:rPr>
          <w:i/>
        </w:rPr>
        <w:t xml:space="preserve">не более </w:t>
      </w:r>
      <w:r w:rsidR="00C24302">
        <w:rPr>
          <w:b/>
        </w:rPr>
        <w:t>85</w:t>
      </w:r>
      <w:r w:rsidR="00C24302" w:rsidRPr="00FF223A">
        <w:rPr>
          <w:b/>
        </w:rPr>
        <w:t xml:space="preserve"> руб</w:t>
      </w:r>
      <w:r w:rsidR="00C24302" w:rsidRPr="00FF223A">
        <w:t>. за 1 у.е</w:t>
      </w:r>
      <w:r w:rsidR="00C24302" w:rsidRPr="00FF223A">
        <w:rPr>
          <w:b/>
        </w:rPr>
        <w:t>.</w:t>
      </w:r>
      <w:r w:rsidR="00C24302">
        <w:rPr>
          <w:b/>
        </w:rPr>
        <w:t xml:space="preserve">, </w:t>
      </w:r>
      <w:r w:rsidR="00C24302" w:rsidRPr="00C24302">
        <w:t xml:space="preserve">включая </w:t>
      </w:r>
      <w:r w:rsidR="00C24302">
        <w:t xml:space="preserve">все </w:t>
      </w:r>
      <w:r w:rsidR="00C24302" w:rsidRPr="00C24302">
        <w:t>налоги, сборы и обязательные платежи</w:t>
      </w:r>
      <w:r w:rsidRPr="00FF223A">
        <w:rPr>
          <w:b/>
        </w:rPr>
        <w:t>;</w:t>
      </w:r>
    </w:p>
    <w:p w:rsidR="00FF223A" w:rsidRPr="00FF223A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3)</w:t>
      </w:r>
      <w:r w:rsidRPr="00FF223A">
        <w:t xml:space="preserve"> комиссионный сбор за услугу по изменению бронирования </w:t>
      </w:r>
      <w:r w:rsidR="00B14675" w:rsidRPr="00FF223A">
        <w:t xml:space="preserve">гостиницы </w:t>
      </w:r>
      <w:r w:rsidR="00C24302" w:rsidRPr="00FF223A">
        <w:rPr>
          <w:i/>
        </w:rPr>
        <w:t xml:space="preserve">не более </w:t>
      </w:r>
      <w:r w:rsidR="00C24302">
        <w:rPr>
          <w:b/>
        </w:rPr>
        <w:t>85</w:t>
      </w:r>
      <w:r w:rsidR="00C24302" w:rsidRPr="00FF223A">
        <w:rPr>
          <w:b/>
        </w:rPr>
        <w:t xml:space="preserve"> руб</w:t>
      </w:r>
      <w:r w:rsidR="00C24302" w:rsidRPr="00FF223A">
        <w:t>. за 1 у.е</w:t>
      </w:r>
      <w:r w:rsidR="00C24302" w:rsidRPr="00FF223A">
        <w:rPr>
          <w:b/>
        </w:rPr>
        <w:t>.</w:t>
      </w:r>
      <w:r w:rsidR="00C24302">
        <w:rPr>
          <w:b/>
        </w:rPr>
        <w:t xml:space="preserve">, </w:t>
      </w:r>
      <w:r w:rsidR="00C24302" w:rsidRPr="00C24302">
        <w:t xml:space="preserve">включая </w:t>
      </w:r>
      <w:r w:rsidR="00C24302">
        <w:t xml:space="preserve">все </w:t>
      </w:r>
      <w:r w:rsidR="00C24302" w:rsidRPr="00C24302">
        <w:t>налоги, сборы и обязательные платежи</w:t>
      </w:r>
      <w:r w:rsidRPr="00FF223A">
        <w:rPr>
          <w:b/>
        </w:rPr>
        <w:t>.</w:t>
      </w:r>
    </w:p>
    <w:p w:rsidR="00002996" w:rsidRPr="00741939" w:rsidRDefault="0028535B" w:rsidP="00FF223A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8D1195">
        <w:rPr>
          <w:b/>
        </w:rPr>
        <w:t>10</w:t>
      </w:r>
      <w:r w:rsidR="008B64BF" w:rsidRPr="00B85697">
        <w:rPr>
          <w:b/>
        </w:rPr>
        <w:t xml:space="preserve">» </w:t>
      </w:r>
      <w:r w:rsidR="008D1195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626A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14675" w:rsidRPr="00B14675">
        <w:t>Т</w:t>
      </w:r>
      <w:r w:rsidR="005117EC" w:rsidRPr="00B14675">
        <w:t xml:space="preserve">ребуется. </w:t>
      </w:r>
    </w:p>
    <w:p w:rsidR="00B14675" w:rsidRPr="001D34E6" w:rsidRDefault="00B14675" w:rsidP="00B14675">
      <w:pPr>
        <w:overflowPunct/>
        <w:ind w:firstLine="709"/>
        <w:jc w:val="both"/>
        <w:textAlignment w:val="auto"/>
        <w:rPr>
          <w:b/>
        </w:rPr>
      </w:pPr>
      <w:r>
        <w:t xml:space="preserve">Размер обеспечения заявки установлен в размере 0,5% от начальной (максимальной) цены договора и </w:t>
      </w:r>
      <w:r w:rsidRPr="00190BA7">
        <w:rPr>
          <w:b/>
        </w:rPr>
        <w:t xml:space="preserve">составляет сумму </w:t>
      </w:r>
      <w:r>
        <w:rPr>
          <w:b/>
        </w:rPr>
        <w:t>210 000 (Двести десять тысяч) рублей 00 копеек</w:t>
      </w:r>
      <w:r w:rsidR="00626AB7">
        <w:rPr>
          <w:b/>
        </w:rPr>
        <w:t>.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Участник процедуры закупки не позднее срока окончания подачи заявок должен предоставить обеспечение заявки одним из следующих способов: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 xml:space="preserve">1) </w:t>
      </w:r>
      <w:proofErr w:type="gramStart"/>
      <w:r>
        <w:t>В</w:t>
      </w:r>
      <w:proofErr w:type="gramEnd"/>
      <w:r>
        <w:t xml:space="preserve"> виде безотзывной банковской гарантии, выданной банком и должна отвечать, как минимум следующим требованиям: 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(а) должна быть безотзывной;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(б) 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 xml:space="preserve">(в) </w:t>
      </w:r>
      <w:r w:rsidRPr="001D34E6">
        <w:t xml:space="preserve">банковская гарантия должна быть выдана банком, </w:t>
      </w:r>
      <w:r w:rsidR="001D34E6" w:rsidRPr="001D34E6">
        <w:rPr>
          <w:color w:val="000000"/>
        </w:rPr>
        <w:t>соответствующим требованиям, установленным Правительством Российской Федерации в соответствии с пунктом 1 части 1 статьи 45 Закона 44-ФЗ, и включенным в перечень банков, предусмотренных пунктом 1.2 части 1 статьи 45 Закона 44-ФЗ</w:t>
      </w:r>
      <w:r>
        <w:t>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(г) сумма банковской гарантии должна быть не менее суммы обеспечения заявки;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(д)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2) Путем перечисления денежных средств на счет, открытый участнику процедуры закупки оператором ЭТП в соответствии с регламентом ЭТП.</w:t>
      </w:r>
    </w:p>
    <w:p w:rsidR="00B14675" w:rsidRPr="00914AEB" w:rsidRDefault="00B14675" w:rsidP="00B14675">
      <w:pPr>
        <w:overflowPunct/>
        <w:ind w:firstLine="709"/>
        <w:jc w:val="both"/>
        <w:textAlignment w:val="auto"/>
      </w:pPr>
      <w:r>
        <w:t>Выбор способа предоставления обеспечения заявки осуществляется участником процедуры закупки самостоятельно.</w:t>
      </w:r>
      <w:r w:rsidRPr="00500883">
        <w:t xml:space="preserve"> </w:t>
      </w:r>
      <w:r>
        <w:t>П</w:t>
      </w:r>
      <w:r w:rsidRPr="00500883">
        <w:t>одача заявки допускается участником процедуры закупки, предоставившим надлежащее обеспечение заявки в соответствии с условиями</w:t>
      </w:r>
      <w:r>
        <w:t xml:space="preserve"> документации о закупке</w:t>
      </w:r>
    </w:p>
    <w:p w:rsidR="00B14675" w:rsidRPr="00B14675" w:rsidRDefault="00B14675" w:rsidP="005117EC">
      <w:pPr>
        <w:overflowPunct/>
        <w:ind w:firstLine="709"/>
        <w:jc w:val="both"/>
        <w:textAlignment w:val="auto"/>
      </w:pP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lastRenderedPageBreak/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8D1195">
        <w:rPr>
          <w:b/>
        </w:rPr>
        <w:t>10</w:t>
      </w:r>
      <w:r w:rsidR="00F61399" w:rsidRPr="00F528BF">
        <w:rPr>
          <w:b/>
        </w:rPr>
        <w:t xml:space="preserve">» </w:t>
      </w:r>
      <w:r w:rsidR="008D1195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1D34E6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1D34E6" w:rsidRPr="001D34E6">
        <w:t>08</w:t>
      </w:r>
      <w:r w:rsidR="00002996" w:rsidRPr="00741939">
        <w:t xml:space="preserve"> часов </w:t>
      </w:r>
      <w:r w:rsidR="001D34E6" w:rsidRPr="001D34E6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8D1195">
        <w:rPr>
          <w:b/>
        </w:rPr>
        <w:t>11</w:t>
      </w:r>
      <w:r w:rsidR="004E77E1" w:rsidRPr="00F528BF">
        <w:rPr>
          <w:b/>
        </w:rPr>
        <w:t xml:space="preserve">» </w:t>
      </w:r>
      <w:r w:rsidR="008D1195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1D34E6" w:rsidRPr="001D34E6">
        <w:t>14</w:t>
      </w:r>
      <w:r w:rsidR="004E77E1" w:rsidRPr="00741939">
        <w:t xml:space="preserve"> часов </w:t>
      </w:r>
      <w:r w:rsidR="001D34E6" w:rsidRPr="001D34E6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14675" w:rsidRDefault="00644E7F" w:rsidP="00B14675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</w:p>
    <w:p w:rsidR="00B85697" w:rsidRDefault="00B14675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B14675" w:rsidRDefault="00B14675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Размер обеспечения исполнения договора </w:t>
      </w:r>
      <w:r w:rsidRPr="009972A7">
        <w:rPr>
          <w:rFonts w:eastAsia="Calibri"/>
          <w:lang w:eastAsia="en-US"/>
        </w:rPr>
        <w:t xml:space="preserve">установлен в размере </w:t>
      </w:r>
      <w:r w:rsidR="008500F2">
        <w:rPr>
          <w:rFonts w:eastAsia="Calibri"/>
          <w:lang w:eastAsia="en-US"/>
        </w:rPr>
        <w:t>5</w:t>
      </w:r>
      <w:r w:rsidRPr="00741939">
        <w:rPr>
          <w:rFonts w:eastAsia="Calibri"/>
          <w:lang w:eastAsia="en-US"/>
        </w:rPr>
        <w:t>% от начальной (максимальной) цены договора</w:t>
      </w:r>
      <w:r>
        <w:rPr>
          <w:rFonts w:eastAsia="Calibri"/>
          <w:lang w:eastAsia="en-US"/>
        </w:rPr>
        <w:t xml:space="preserve"> и составляет сумму</w:t>
      </w:r>
      <w:r w:rsidRPr="00741939">
        <w:rPr>
          <w:rFonts w:eastAsia="Calibri"/>
          <w:lang w:eastAsia="en-US"/>
        </w:rPr>
        <w:t xml:space="preserve">: </w:t>
      </w:r>
    </w:p>
    <w:p w:rsidR="00B14675" w:rsidRPr="00741939" w:rsidRDefault="008500F2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2 100 000 (Два миллиона сто тысяч) рублей 00 копеек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Документ, подтверждающий предоставление обеспечения исполнения договора, должен быть предъявлен заказчику</w:t>
      </w:r>
      <w:r w:rsidR="001D34E6">
        <w:rPr>
          <w:rFonts w:eastAsia="Calibri"/>
          <w:lang w:eastAsia="en-US"/>
        </w:rPr>
        <w:t xml:space="preserve"> до момента заключения договора: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1) путем перечисления денежных средств по следующим реквизитам: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АО «НПО автоматики» ИНН6685066917/КПП668501001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620075, Российская Федерация, Свердловская область,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г. Екатеринбург, ул. Мамина-Сибиряка, д.145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right="-285"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Банковские реквизиты: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р/с </w:t>
      </w:r>
      <w:r>
        <w:rPr>
          <w:rFonts w:eastAsia="Calibri"/>
          <w:color w:val="000000"/>
          <w:lang w:eastAsia="en-US"/>
        </w:rPr>
        <w:t>40702810900000068622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72" w:firstLine="709"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Банк</w:t>
      </w:r>
      <w:r w:rsidRPr="00741939">
        <w:rPr>
          <w:rFonts w:eastAsia="Calibri"/>
          <w:color w:val="000000"/>
          <w:lang w:eastAsia="en-US"/>
        </w:rPr>
        <w:t xml:space="preserve"> ГПБ (АО) г. </w:t>
      </w:r>
      <w:r>
        <w:rPr>
          <w:rFonts w:eastAsia="Calibri"/>
          <w:color w:val="000000"/>
          <w:lang w:eastAsia="en-US"/>
        </w:rPr>
        <w:t>Москва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к/с </w:t>
      </w:r>
      <w:r>
        <w:rPr>
          <w:rFonts w:eastAsia="Calibri"/>
          <w:color w:val="000000"/>
          <w:lang w:eastAsia="en-US"/>
        </w:rPr>
        <w:t>30101810200000000823</w:t>
      </w:r>
    </w:p>
    <w:p w:rsidR="00B14675" w:rsidRPr="007A21D0" w:rsidRDefault="00B14675" w:rsidP="00B14675">
      <w:pPr>
        <w:tabs>
          <w:tab w:val="left" w:pos="0"/>
        </w:tabs>
        <w:overflowPunct/>
        <w:autoSpaceDE/>
        <w:adjustRightInd/>
        <w:ind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БИК </w:t>
      </w:r>
      <w:r>
        <w:rPr>
          <w:rFonts w:eastAsia="Calibri"/>
          <w:color w:val="000000"/>
          <w:lang w:eastAsia="en-US"/>
        </w:rPr>
        <w:t>044525823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Назначение платежа: «Обеспечение исполнения договора на участие в запросе предложений___________________ №_________________________»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                               (реестровый номер закупки)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2) в виде безотзывной (банковской) гарантии, выданной банком и соответствующей требованиям, установленным в документации о закупке.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Выбор способа обеспечения исполнения договора участник процедуры закупки выбирает самостоятельно.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u w:val="single"/>
          <w:lang w:eastAsia="en-US"/>
        </w:rPr>
        <w:t>Банковская гарантия должна отвечать следующим требованиям: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должна быть безотзывной;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срок действия банковской гарантии должен оканчиваться не ранее 1 (одного) месяца с момента исполнения поставщиком своих обязательств;</w:t>
      </w:r>
    </w:p>
    <w:p w:rsidR="00B14675" w:rsidRPr="00741939" w:rsidRDefault="00B14675" w:rsidP="001D34E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- </w:t>
      </w:r>
      <w:r w:rsidR="001D34E6" w:rsidRPr="001D34E6">
        <w:t xml:space="preserve">банковская гарантия должна быть выдана банком, </w:t>
      </w:r>
      <w:r w:rsidR="001D34E6" w:rsidRPr="001D34E6">
        <w:rPr>
          <w:color w:val="000000"/>
        </w:rPr>
        <w:t>соответствующим требованиям, установленным Правительством Российской Федерации в соответствии с пунктом 1 части 1 статьи 45 Закона 44-ФЗ, и включенным в перечень банков, предусмотренных пунктом 1.2 части 1 статьи 45 Закона 44-ФЗ</w:t>
      </w:r>
      <w:r w:rsidRPr="00741939">
        <w:rPr>
          <w:rFonts w:eastAsia="Calibri"/>
          <w:lang w:eastAsia="en-US"/>
        </w:rPr>
        <w:t>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конкурентную процедуру закупки, по итогам которой будет заключен такой договор.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порядке, предусмотренном проектом договора.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Порядок и срок возврата обеспечения исполнения договора указан в проекте договора.</w:t>
      </w:r>
    </w:p>
    <w:p w:rsidR="00B14675" w:rsidRPr="00B14675" w:rsidRDefault="00B14675" w:rsidP="008500F2">
      <w:pPr>
        <w:overflowPunct/>
        <w:ind w:firstLine="709"/>
        <w:jc w:val="both"/>
        <w:textAlignment w:val="auto"/>
      </w:pPr>
      <w:r>
        <w:rPr>
          <w:rFonts w:eastAsia="Calibri"/>
        </w:rPr>
        <w:t>Более подробные сведения, а также о</w:t>
      </w:r>
      <w:r w:rsidRPr="00E72E8E">
        <w:rPr>
          <w:rFonts w:eastAsia="Calibri"/>
        </w:rPr>
        <w:t>бязательства, надлежащее исполнение которых должно быть обеспечено, указаны в проекте договора</w:t>
      </w:r>
      <w:r w:rsidRPr="00E72E8E">
        <w:t>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lastRenderedPageBreak/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4E" w:rsidRDefault="008B464E">
      <w:r>
        <w:separator/>
      </w:r>
    </w:p>
  </w:endnote>
  <w:endnote w:type="continuationSeparator" w:id="0">
    <w:p w:rsidR="008B464E" w:rsidRDefault="008B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4E" w:rsidRDefault="008B464E">
      <w:r>
        <w:separator/>
      </w:r>
    </w:p>
  </w:footnote>
  <w:footnote w:type="continuationSeparator" w:id="0">
    <w:p w:rsidR="008B464E" w:rsidRDefault="008B4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D44337F"/>
    <w:multiLevelType w:val="multilevel"/>
    <w:tmpl w:val="BBA05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8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0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1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0BBE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34E6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D79B0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3F50"/>
    <w:rsid w:val="004B4671"/>
    <w:rsid w:val="004B5BF1"/>
    <w:rsid w:val="004B6F8E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26AB7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0A1B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0F2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64E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195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29D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675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302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1AF7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23A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3E775EC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  <w:style w:type="character" w:styleId="af0">
    <w:name w:val="Strong"/>
    <w:basedOn w:val="a1"/>
    <w:qFormat/>
    <w:rsid w:val="003D7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D7E8-E1B8-4D21-AF70-B76CE274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1155</Words>
  <Characters>8294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44</cp:revision>
  <cp:lastPrinted>2023-02-14T03:53:00Z</cp:lastPrinted>
  <dcterms:created xsi:type="dcterms:W3CDTF">2022-10-31T04:39:00Z</dcterms:created>
  <dcterms:modified xsi:type="dcterms:W3CDTF">2024-06-03T07:00:00Z</dcterms:modified>
</cp:coreProperties>
</file>