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CF" w:rsidRDefault="00DE71CF" w:rsidP="000B4FB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71CF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</w:t>
      </w:r>
      <w:proofErr w:type="gramStart"/>
      <w:r w:rsidRPr="00DE71CF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далее-ТЗ)</w:t>
      </w:r>
    </w:p>
    <w:p w:rsidR="000B4FBC" w:rsidRDefault="000B4FBC" w:rsidP="000B4FB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4FBC">
        <w:rPr>
          <w:rFonts w:ascii="Times New Roman" w:eastAsia="Calibri" w:hAnsi="Times New Roman" w:cs="Times New Roman"/>
          <w:sz w:val="24"/>
          <w:szCs w:val="24"/>
        </w:rPr>
        <w:t xml:space="preserve"> на выполнение работ (оказание услуг)</w:t>
      </w:r>
    </w:p>
    <w:p w:rsidR="00582DC1" w:rsidRDefault="00582DC1" w:rsidP="000B4FB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5528"/>
      </w:tblGrid>
      <w:tr w:rsidR="004D6AB3" w:rsidTr="00582DC1">
        <w:tc>
          <w:tcPr>
            <w:tcW w:w="567" w:type="dxa"/>
            <w:vAlign w:val="center"/>
          </w:tcPr>
          <w:p w:rsidR="004D6AB3" w:rsidRDefault="004D6AB3" w:rsidP="00195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  <w:gridSpan w:val="2"/>
          </w:tcPr>
          <w:p w:rsidR="004D6AB3" w:rsidRDefault="004D6AB3" w:rsidP="00DE7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  <w:p w:rsidR="004D6AB3" w:rsidRDefault="004D6AB3" w:rsidP="00DE7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(оказанию услуг)</w:t>
            </w:r>
          </w:p>
        </w:tc>
      </w:tr>
      <w:tr w:rsidR="004D6AB3" w:rsidTr="00582DC1">
        <w:tc>
          <w:tcPr>
            <w:tcW w:w="567" w:type="dxa"/>
            <w:vMerge w:val="restart"/>
          </w:tcPr>
          <w:p w:rsidR="004D6AB3" w:rsidRPr="007F7293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2"/>
          </w:tcPr>
          <w:p w:rsidR="004D6AB3" w:rsidRPr="007F7293" w:rsidRDefault="004D6AB3" w:rsidP="007F72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4D6AB3" w:rsidTr="00582DC1">
        <w:tc>
          <w:tcPr>
            <w:tcW w:w="567" w:type="dxa"/>
            <w:vMerge/>
          </w:tcPr>
          <w:p w:rsidR="004D6AB3" w:rsidRPr="007F7293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Pr="007F7293" w:rsidRDefault="004D6AB3" w:rsidP="000A216B">
            <w:pPr>
              <w:widowControl w:val="0"/>
              <w:autoSpaceDE w:val="0"/>
              <w:autoSpaceDN w:val="0"/>
              <w:adjustRightInd w:val="0"/>
              <w:ind w:firstLine="6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sz w:val="24"/>
                <w:szCs w:val="24"/>
              </w:rPr>
              <w:t>АО «НПО автоматики»</w:t>
            </w:r>
          </w:p>
        </w:tc>
      </w:tr>
      <w:tr w:rsidR="004D6AB3" w:rsidTr="00582DC1">
        <w:tc>
          <w:tcPr>
            <w:tcW w:w="567" w:type="dxa"/>
            <w:vMerge w:val="restart"/>
          </w:tcPr>
          <w:p w:rsidR="004D6AB3" w:rsidRPr="007F7293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647" w:type="dxa"/>
            <w:gridSpan w:val="2"/>
          </w:tcPr>
          <w:p w:rsidR="004D6AB3" w:rsidRPr="007F7293" w:rsidRDefault="004D6AB3" w:rsidP="007F7293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Способ закупки:</w:t>
            </w:r>
          </w:p>
        </w:tc>
      </w:tr>
      <w:tr w:rsidR="000A216B" w:rsidTr="00582DC1">
        <w:tc>
          <w:tcPr>
            <w:tcW w:w="567" w:type="dxa"/>
            <w:vMerge/>
          </w:tcPr>
          <w:p w:rsidR="000A216B" w:rsidRPr="007F7293" w:rsidRDefault="000A216B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0A216B" w:rsidRPr="007F7293" w:rsidRDefault="000A216B" w:rsidP="000A216B">
            <w:pPr>
              <w:widowControl w:val="0"/>
              <w:autoSpaceDE w:val="0"/>
              <w:autoSpaceDN w:val="0"/>
              <w:adjustRightInd w:val="0"/>
              <w:ind w:firstLine="6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запрос предложений в электронной</w:t>
            </w:r>
            <w:r w:rsidRPr="007F7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A216B" w:rsidTr="00582DC1">
        <w:tc>
          <w:tcPr>
            <w:tcW w:w="567" w:type="dxa"/>
            <w:vMerge w:val="restart"/>
          </w:tcPr>
          <w:p w:rsidR="000A216B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2"/>
          </w:tcPr>
          <w:p w:rsidR="000A216B" w:rsidRPr="004351FB" w:rsidRDefault="000A216B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</w:tr>
      <w:tr w:rsidR="000A216B" w:rsidTr="00582DC1">
        <w:tc>
          <w:tcPr>
            <w:tcW w:w="567" w:type="dxa"/>
            <w:vMerge/>
          </w:tcPr>
          <w:p w:rsidR="000A216B" w:rsidRDefault="000A216B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05518" w:rsidRPr="00105518" w:rsidRDefault="00105518" w:rsidP="00105518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0" w:right="5" w:firstLine="742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05518">
              <w:rPr>
                <w:rFonts w:ascii="Times New Roman" w:hAnsi="Times New Roman" w:cs="Times New Roman"/>
                <w:color w:val="000000"/>
                <w:sz w:val="24"/>
              </w:rPr>
              <w:t xml:space="preserve">Исполнитель </w:t>
            </w:r>
            <w:r w:rsidRPr="00105518">
              <w:rPr>
                <w:rFonts w:ascii="Times New Roman" w:hAnsi="Times New Roman" w:cs="Times New Roman"/>
                <w:color w:val="000000"/>
                <w:spacing w:val="-11"/>
                <w:sz w:val="24"/>
              </w:rPr>
              <w:t xml:space="preserve">принимает на себя обязательства по организации корпоративного обслуживания работников Заказчика, в объёме, указанном в п. 2.9 настоящего договора, связанные с бронированием, оплатой номеров в гостиницах, отелях, жилых помещений, от своего имени и за счет Заказчика. </w:t>
            </w:r>
          </w:p>
          <w:p w:rsidR="000A216B" w:rsidRPr="00105518" w:rsidRDefault="00105518" w:rsidP="0010551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</w:rPr>
              <w:t xml:space="preserve">                             </w:t>
            </w:r>
            <w:r w:rsidR="000A216B" w:rsidRPr="00105518">
              <w:rPr>
                <w:rFonts w:ascii="Times New Roman" w:eastAsia="Times New Roman" w:hAnsi="Times New Roman" w:cs="Times New Roman"/>
                <w:sz w:val="24"/>
                <w:szCs w:val="21"/>
              </w:rPr>
              <w:t>Объем договора является приблизительным и будет складываться из объема фактически оказываемых услуг</w:t>
            </w:r>
            <w:r w:rsidR="00550FB0" w:rsidRPr="00105518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(с</w:t>
            </w:r>
            <w:r w:rsidR="00550FB0" w:rsidRPr="00105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тоимость номера в гостинице, отеле, жилого помещения</w:t>
            </w:r>
            <w:r w:rsidR="000A216B" w:rsidRPr="00105518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, </w:t>
            </w:r>
            <w:r w:rsidR="00550FB0" w:rsidRPr="00105518">
              <w:rPr>
                <w:rFonts w:ascii="Times New Roman" w:eastAsia="Times New Roman" w:hAnsi="Times New Roman" w:cs="Times New Roman"/>
                <w:sz w:val="24"/>
                <w:szCs w:val="21"/>
              </w:rPr>
              <w:t>с</w:t>
            </w:r>
            <w:r w:rsidR="00550FB0" w:rsidRPr="00105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огласно тарифам, ценам гостиниц, отелей и жилых помещений и вознаграждение Исполнителя (комиссионный сбор)</w:t>
            </w:r>
            <w:r w:rsidR="002672AE" w:rsidRPr="00105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0FB0" w:rsidRPr="00105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A216B" w:rsidRPr="00105518">
              <w:rPr>
                <w:rFonts w:ascii="Times New Roman" w:eastAsia="Times New Roman" w:hAnsi="Times New Roman" w:cs="Times New Roman"/>
                <w:sz w:val="24"/>
                <w:szCs w:val="21"/>
              </w:rPr>
              <w:t>при этом Заказчик не несет никакой ответственности за неполную выборку услуг.</w:t>
            </w:r>
          </w:p>
        </w:tc>
      </w:tr>
      <w:tr w:rsidR="004D6AB3" w:rsidTr="00582DC1">
        <w:tc>
          <w:tcPr>
            <w:tcW w:w="567" w:type="dxa"/>
          </w:tcPr>
          <w:p w:rsidR="004D6AB3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результатам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D6AB3" w:rsidTr="00582DC1">
        <w:tc>
          <w:tcPr>
            <w:tcW w:w="567" w:type="dxa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4D6AB3" w:rsidRPr="004351FB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D6AB3" w:rsidRPr="004351FB" w:rsidRDefault="004D6AB3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Технический регламент/</w:t>
            </w:r>
          </w:p>
          <w:p w:rsidR="004D6AB3" w:rsidRPr="0089353F" w:rsidRDefault="004D6AB3" w:rsidP="004D6AB3">
            <w:pPr>
              <w:shd w:val="clear" w:color="auto" w:fill="FFFFFF"/>
              <w:spacing w:after="6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8" w:type="dxa"/>
            <w:vAlign w:val="center"/>
          </w:tcPr>
          <w:p w:rsidR="00EA3C14" w:rsidRPr="001616B0" w:rsidRDefault="00EA3C14" w:rsidP="00EA3C14">
            <w:pPr>
              <w:autoSpaceDE w:val="0"/>
              <w:autoSpaceDN w:val="0"/>
              <w:adjustRightInd w:val="0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6B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18</w:t>
            </w:r>
            <w:r w:rsidR="00677EB9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1616B0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677EB9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1616B0">
              <w:rPr>
                <w:rFonts w:ascii="Times New Roman" w:hAnsi="Times New Roman" w:cs="Times New Roman"/>
                <w:sz w:val="24"/>
                <w:szCs w:val="24"/>
              </w:rPr>
              <w:t xml:space="preserve"> N 1860 "Об утверждении Положения о классификации гостиниц".</w:t>
            </w:r>
          </w:p>
          <w:p w:rsidR="00A83795" w:rsidRPr="008E776F" w:rsidRDefault="001616B0" w:rsidP="00EA3C14">
            <w:pPr>
              <w:autoSpaceDE w:val="0"/>
              <w:autoSpaceDN w:val="0"/>
              <w:adjustRightInd w:val="0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76F">
              <w:rPr>
                <w:rFonts w:ascii="Times New Roman" w:hAnsi="Times New Roman" w:cs="Times New Roman"/>
                <w:sz w:val="24"/>
                <w:szCs w:val="24"/>
              </w:rPr>
              <w:t>Постановление главного санитарного врача РФ от 24.12.2020 года № 44 «Об утверждении санитарных правил СП 2.1.3678-20 «Санитарно-эпидемиологические требования к эксплуатации</w:t>
            </w:r>
            <w:r w:rsidR="00B96B01" w:rsidRPr="008E776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зданий, сооружений, оборудования и транспорта, а также условиям деятельности хозяйст</w:t>
            </w:r>
            <w:r w:rsidR="008E776F" w:rsidRPr="008E776F">
              <w:rPr>
                <w:rFonts w:ascii="Times New Roman" w:hAnsi="Times New Roman" w:cs="Times New Roman"/>
                <w:sz w:val="24"/>
                <w:szCs w:val="24"/>
              </w:rPr>
              <w:t>вующих субъектов, осуществляющих продажу товаров, выполнение работ или оказание услуг»</w:t>
            </w:r>
            <w:r w:rsidR="008E7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6AB3" w:rsidRDefault="004D6AB3" w:rsidP="003530C3">
            <w:pPr>
              <w:shd w:val="clear" w:color="auto" w:fill="FFFFFF"/>
              <w:spacing w:after="6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Федеральный закон от 27.07.2006 № 152 ФЗ «О персональных данных».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.2 </w:t>
            </w:r>
          </w:p>
        </w:tc>
        <w:tc>
          <w:tcPr>
            <w:tcW w:w="3119" w:type="dxa"/>
          </w:tcPr>
          <w:p w:rsidR="004D6AB3" w:rsidRDefault="004D6AB3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(оказанию услуги)</w:t>
            </w:r>
          </w:p>
        </w:tc>
        <w:tc>
          <w:tcPr>
            <w:tcW w:w="5528" w:type="dxa"/>
            <w:vAlign w:val="center"/>
          </w:tcPr>
          <w:p w:rsidR="0079669F" w:rsidRPr="0079669F" w:rsidRDefault="004D6AB3" w:rsidP="00334316">
            <w:pPr>
              <w:widowControl w:val="0"/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При оказании услуг Исполнитель обязуется обеспечить </w:t>
            </w:r>
            <w:r w:rsidRPr="00385862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нераспространение персональных данных сотрудников 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заказчика</w:t>
            </w:r>
            <w:r w:rsidR="00334316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и </w:t>
            </w:r>
            <w:r w:rsidR="008E776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место проживания.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Pr="0089353F" w:rsidRDefault="004D6AB3" w:rsidP="00DA16E2">
            <w:pPr>
              <w:shd w:val="clear" w:color="auto" w:fill="FFFFFF"/>
              <w:spacing w:after="6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</w:p>
        </w:tc>
        <w:tc>
          <w:tcPr>
            <w:tcW w:w="5528" w:type="dxa"/>
            <w:vAlign w:val="center"/>
          </w:tcPr>
          <w:p w:rsidR="004D6AB3" w:rsidRPr="00412323" w:rsidRDefault="00677EB9" w:rsidP="00105518">
            <w:pPr>
              <w:autoSpaceDE w:val="0"/>
              <w:autoSpaceDN w:val="0"/>
              <w:adjustRightInd w:val="0"/>
              <w:ind w:firstLine="742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Услуги проживания</w:t>
            </w:r>
            <w:r w:rsidR="004D6AB3"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должны соответствовать требованиям, установленным</w:t>
            </w:r>
            <w:r w:rsidR="00AF3A27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F3A27" w:rsidRPr="001616B0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3A27" w:rsidRPr="001616B0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18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AF3A27" w:rsidRPr="001616B0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AF3A27" w:rsidRPr="001616B0">
              <w:rPr>
                <w:rFonts w:ascii="Times New Roman" w:hAnsi="Times New Roman" w:cs="Times New Roman"/>
                <w:sz w:val="24"/>
                <w:szCs w:val="24"/>
              </w:rPr>
              <w:t xml:space="preserve"> N 1860 "Об утверждении Положения 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о классификации гостиниц", п</w:t>
            </w:r>
            <w:r w:rsidR="00AF3A27" w:rsidRPr="008E776F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AF3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3A27" w:rsidRPr="008E776F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санитарного врача РФ от 24.12.2020 года № 44 «Об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</w:t>
            </w:r>
            <w:r w:rsidR="00105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3119" w:type="dxa"/>
          </w:tcPr>
          <w:p w:rsidR="004D6AB3" w:rsidRDefault="004D6AB3" w:rsidP="004D6A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 применяемых материалов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используемым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(оказании услуг)</w:t>
            </w:r>
          </w:p>
        </w:tc>
        <w:tc>
          <w:tcPr>
            <w:tcW w:w="5528" w:type="dxa"/>
            <w:vAlign w:val="center"/>
          </w:tcPr>
          <w:p w:rsidR="004D6AB3" w:rsidRDefault="004D6AB3" w:rsidP="00E97409">
            <w:pPr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Default="004D6AB3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(оказании услуг)</w:t>
            </w:r>
          </w:p>
        </w:tc>
        <w:tc>
          <w:tcPr>
            <w:tcW w:w="5528" w:type="dxa"/>
            <w:vAlign w:val="center"/>
          </w:tcPr>
          <w:p w:rsidR="004D6AB3" w:rsidRDefault="004D6AB3" w:rsidP="00E97409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.6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Default="004D6AB3" w:rsidP="00DA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8" w:type="dxa"/>
            <w:vAlign w:val="center"/>
          </w:tcPr>
          <w:p w:rsidR="004D6AB3" w:rsidRDefault="004D6AB3" w:rsidP="00E97409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.7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Default="004D6AB3" w:rsidP="00DA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8" w:type="dxa"/>
            <w:vAlign w:val="center"/>
          </w:tcPr>
          <w:p w:rsidR="004D6AB3" w:rsidRDefault="004D6AB3" w:rsidP="00E97409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.8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Default="004D6AB3" w:rsidP="002672A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предоставлению документов </w:t>
            </w:r>
          </w:p>
        </w:tc>
        <w:tc>
          <w:tcPr>
            <w:tcW w:w="5528" w:type="dxa"/>
            <w:vAlign w:val="center"/>
          </w:tcPr>
          <w:p w:rsidR="004D6AB3" w:rsidRDefault="00334316" w:rsidP="004E58BF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672AE">
              <w:rPr>
                <w:rFonts w:ascii="Times New Roman" w:eastAsia="Calibri" w:hAnsi="Times New Roman" w:cs="Times New Roman"/>
                <w:sz w:val="24"/>
                <w:szCs w:val="24"/>
              </w:rPr>
              <w:t>аучер или иной документ</w:t>
            </w:r>
            <w:r w:rsidR="004E5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="002672AE">
              <w:rPr>
                <w:rFonts w:ascii="Times New Roman" w:eastAsia="Calibri" w:hAnsi="Times New Roman" w:cs="Times New Roman"/>
                <w:sz w:val="24"/>
                <w:szCs w:val="24"/>
              </w:rPr>
              <w:t>одтвержд</w:t>
            </w:r>
            <w:r w:rsidR="004E58BF">
              <w:rPr>
                <w:rFonts w:ascii="Times New Roman" w:eastAsia="Calibri" w:hAnsi="Times New Roman" w:cs="Times New Roman"/>
                <w:sz w:val="24"/>
                <w:szCs w:val="24"/>
              </w:rPr>
              <w:t>ающий</w:t>
            </w:r>
            <w:r w:rsidR="0026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бронировани</w:t>
            </w:r>
            <w:r w:rsidR="004E58B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6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2AE" w:rsidRPr="00550F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 в гостинице, отеле, жилого помещения</w:t>
            </w:r>
            <w:r w:rsidR="0026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3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4D6A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предоставляются в виде </w:t>
            </w:r>
            <w:r w:rsidR="004D6AB3" w:rsidRPr="00B640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электронных документов </w:t>
            </w:r>
            <w:r w:rsidR="004D6AB3">
              <w:rPr>
                <w:rFonts w:ascii="Times New Roman" w:eastAsia="Calibri" w:hAnsi="Times New Roman" w:cs="Times New Roman"/>
                <w:sz w:val="24"/>
                <w:szCs w:val="24"/>
              </w:rPr>
              <w:t>или доставкой курьерск</w:t>
            </w:r>
            <w:r w:rsidR="00244A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службой на </w:t>
            </w:r>
            <w:r w:rsidR="006C6350">
              <w:rPr>
                <w:rFonts w:ascii="Times New Roman" w:eastAsia="Calibri" w:hAnsi="Times New Roman" w:cs="Times New Roman"/>
                <w:sz w:val="24"/>
                <w:szCs w:val="24"/>
              </w:rPr>
              <w:t>бумажном носителе</w:t>
            </w:r>
            <w:r w:rsidR="00244A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D6AB3" w:rsidTr="00582DC1">
        <w:tc>
          <w:tcPr>
            <w:tcW w:w="567" w:type="dxa"/>
            <w:vAlign w:val="center"/>
          </w:tcPr>
          <w:p w:rsidR="004D6AB3" w:rsidRPr="004351FB" w:rsidRDefault="00105518" w:rsidP="004D6A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6AB3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.9</w:t>
            </w:r>
            <w:r w:rsidR="004D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D6AB3" w:rsidRDefault="004D6AB3" w:rsidP="00DA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</w:p>
        </w:tc>
        <w:tc>
          <w:tcPr>
            <w:tcW w:w="5528" w:type="dxa"/>
            <w:vAlign w:val="center"/>
          </w:tcPr>
          <w:p w:rsidR="004D6AB3" w:rsidRPr="00BE2D72" w:rsidRDefault="004D6AB3" w:rsidP="000D5BB3">
            <w:pPr>
              <w:widowControl w:val="0"/>
              <w:shd w:val="clear" w:color="auto" w:fill="FFFFFF"/>
              <w:tabs>
                <w:tab w:val="num" w:pos="426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34" w:right="6" w:firstLine="6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Сдача-приемка оказанных услуг оформляется сторонами актом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выполненных работ (отчетом об исполнении обязательств)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котором указывается наименование, фактический объем выполненных работ (</w:t>
            </w:r>
            <w:r w:rsidR="00B81AAF">
              <w:rPr>
                <w:rFonts w:ascii="Times New Roman" w:eastAsia="Calibri" w:hAnsi="Times New Roman" w:cs="Times New Roman"/>
                <w:sz w:val="24"/>
                <w:szCs w:val="24"/>
              </w:rPr>
              <w:t>ФИО проживающего,</w:t>
            </w:r>
            <w:r w:rsidR="00441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  <w:r w:rsidR="00441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гостиницы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>, отеля, жилого помещения</w:t>
            </w:r>
            <w:r w:rsidR="004410E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адрес (город, населенный пункт, </w:t>
            </w:r>
            <w:r w:rsidR="00E32C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 w:rsidR="00E32CC4">
              <w:rPr>
                <w:rFonts w:ascii="Times New Roman" w:eastAsia="Calibri" w:hAnsi="Times New Roman" w:cs="Times New Roman"/>
                <w:sz w:val="24"/>
                <w:szCs w:val="24"/>
              </w:rPr>
              <w:t>оживания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>, количество суток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32C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цена услуги за сутки, общая стоимость проживания за период,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E45D7">
              <w:rPr>
                <w:rFonts w:ascii="Times New Roman" w:eastAsia="Calibri" w:hAnsi="Times New Roman" w:cs="Times New Roman"/>
                <w:sz w:val="24"/>
                <w:szCs w:val="24"/>
              </w:rPr>
              <w:t>вознаграждение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комиссионные сборы) и </w:t>
            </w:r>
            <w:r w:rsidR="00E32CC4">
              <w:rPr>
                <w:rFonts w:ascii="Times New Roman" w:eastAsia="Calibri" w:hAnsi="Times New Roman" w:cs="Times New Roman"/>
                <w:sz w:val="24"/>
                <w:szCs w:val="24"/>
              </w:rPr>
              <w:t>всего оказано услуг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оплате. 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Оригиналы актов выполненных услуг</w:t>
            </w:r>
            <w:r w:rsidR="00FE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(отчетов об исполнении обязательств)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Исполнитель передает Заказчику за каждые 10 (десять календарны</w:t>
            </w:r>
            <w:r w:rsidR="0038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дней). За первую декаду, до 15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текущего месяца, за вторую декаду д</w:t>
            </w:r>
            <w:r w:rsidR="0038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25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текущего месяца, за третью декаду, до 5 числа месяца, следующего за отчетным</w:t>
            </w:r>
            <w:proofErr w:type="gramStart"/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C6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4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FE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45D7" w:rsidRPr="00FE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актам выполненных работ (отчетам об исполнении обязательств) должны быть приложены необходимые доказательства расходов, т.е. копии первичных документов (счетов, счетов-фактур, актов об оказании услуг и т.п.), </w:t>
            </w:r>
            <w:r w:rsidR="000D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осуществлением обязанностей, предусмотренных договором.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(оказания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D6AB3" w:rsidTr="00582DC1">
        <w:tc>
          <w:tcPr>
            <w:tcW w:w="567" w:type="dxa"/>
            <w:vMerge/>
            <w:vAlign w:val="center"/>
          </w:tcPr>
          <w:p w:rsidR="004D6AB3" w:rsidRPr="004351FB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Default="004D6AB3" w:rsidP="003E5CAA">
            <w:pPr>
              <w:widowControl w:val="0"/>
              <w:autoSpaceDE w:val="0"/>
              <w:autoSpaceDN w:val="0"/>
              <w:adjustRightInd w:val="0"/>
              <w:ind w:firstLine="7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Екатеринбург, ул. Мамина Сибиряка,145 (по месту нахождения заказчика).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(оказания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D6AB3" w:rsidTr="00582DC1">
        <w:tc>
          <w:tcPr>
            <w:tcW w:w="567" w:type="dxa"/>
            <w:vMerge/>
            <w:vAlign w:val="center"/>
          </w:tcPr>
          <w:p w:rsidR="004D6AB3" w:rsidRPr="004351FB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Default="004D6AB3" w:rsidP="007D413F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договора.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(оказанных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D6AB3" w:rsidTr="00582DC1">
        <w:tc>
          <w:tcPr>
            <w:tcW w:w="567" w:type="dxa"/>
            <w:vMerge/>
            <w:vAlign w:val="center"/>
          </w:tcPr>
          <w:p w:rsidR="004D6AB3" w:rsidRPr="004351FB" w:rsidRDefault="004D6AB3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Default="004D6AB3" w:rsidP="007D413F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F611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47" w:type="dxa"/>
            <w:gridSpan w:val="2"/>
          </w:tcPr>
          <w:p w:rsidR="004D6AB3" w:rsidRPr="00F43060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Цена договора/единицы продукции (услуги)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4D6AB3" w:rsidTr="00582DC1">
        <w:trPr>
          <w:trHeight w:val="420"/>
        </w:trPr>
        <w:tc>
          <w:tcPr>
            <w:tcW w:w="567" w:type="dxa"/>
            <w:vMerge/>
            <w:vAlign w:val="center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Pr="00FB6EB2" w:rsidRDefault="004D6AB3" w:rsidP="00FB6EB2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НМЦ договора сформирована с учетом НДС, как максимально возможная сумма всех платежей по договору за услуги, которые будут оказаны по договору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6AB3" w:rsidRPr="00FB6EB2" w:rsidRDefault="004D6AB3" w:rsidP="00FB6EB2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процедуры закупки указывает в своей заявке на участие в закупке цену каждой единицы услуги. </w:t>
            </w:r>
          </w:p>
          <w:p w:rsidR="004D6AB3" w:rsidRPr="00FB6EB2" w:rsidRDefault="004D6AB3" w:rsidP="00FB6EB2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Кроме того, участник процедуры закупки должен предложить одинаковый размер (процент) снижения в отношении всех стоимостных величин единиц продукции. </w:t>
            </w:r>
          </w:p>
          <w:p w:rsidR="004D6AB3" w:rsidRPr="00FB6EB2" w:rsidRDefault="004D6AB3" w:rsidP="00FB6EB2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каждой единицы работы не может превышать размер НМЦ единицы услуги, указанной в разделе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E04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задания при заключении договора по итогам закупки.</w:t>
            </w:r>
          </w:p>
          <w:p w:rsidR="004D6AB3" w:rsidRDefault="004D6AB3" w:rsidP="004A0CD7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В цену каждой единицы услуги включаются затраты Исполнителя (Победителя открытого запроса предложений), связанные с оказанием услуг в соответствии с требованиями Технического задания и условиями договора, уплатой налогов и других обязательных платежей.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</w:tr>
      <w:tr w:rsidR="004D6AB3" w:rsidTr="00582DC1">
        <w:tc>
          <w:tcPr>
            <w:tcW w:w="567" w:type="dxa"/>
            <w:vMerge/>
            <w:vAlign w:val="center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Default="004D6AB3" w:rsidP="007D413F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67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подразделом 10.4 Положения о закупке</w:t>
            </w:r>
          </w:p>
        </w:tc>
      </w:tr>
      <w:tr w:rsidR="004D6AB3" w:rsidTr="00582DC1">
        <w:tc>
          <w:tcPr>
            <w:tcW w:w="567" w:type="dxa"/>
            <w:vMerge w:val="restart"/>
            <w:vAlign w:val="center"/>
          </w:tcPr>
          <w:p w:rsidR="004D6AB3" w:rsidRPr="004351FB" w:rsidRDefault="00105518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(оказанию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D6AB3" w:rsidTr="00582DC1">
        <w:tc>
          <w:tcPr>
            <w:tcW w:w="567" w:type="dxa"/>
            <w:vMerge/>
            <w:vAlign w:val="center"/>
          </w:tcPr>
          <w:p w:rsidR="004D6AB3" w:rsidRPr="004351FB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Pr="00954F87" w:rsidRDefault="00BF3A61" w:rsidP="00BF3A61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    В соответствии с </w:t>
            </w:r>
            <w:r w:rsidR="001D4294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п. 1.5, 1.6, 2.5, 2.6, 2.7, 2.8 договора.</w:t>
            </w:r>
          </w:p>
        </w:tc>
      </w:tr>
      <w:tr w:rsidR="0066182F" w:rsidTr="00582DC1">
        <w:tc>
          <w:tcPr>
            <w:tcW w:w="567" w:type="dxa"/>
            <w:vMerge w:val="restart"/>
            <w:vAlign w:val="center"/>
          </w:tcPr>
          <w:p w:rsidR="0066182F" w:rsidRPr="004351FB" w:rsidRDefault="00105518" w:rsidP="00661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647" w:type="dxa"/>
            <w:gridSpan w:val="2"/>
          </w:tcPr>
          <w:p w:rsidR="0066182F" w:rsidRPr="00954F87" w:rsidRDefault="0066182F" w:rsidP="0066182F">
            <w:pPr>
              <w:rPr>
                <w:rFonts w:ascii="Times New Roman" w:hAnsi="Times New Roman" w:cs="Times New Roman"/>
                <w:b/>
              </w:rPr>
            </w:pPr>
            <w:r w:rsidRPr="00954F87">
              <w:rPr>
                <w:rFonts w:ascii="Times New Roman" w:hAnsi="Times New Roman" w:cs="Times New Roman"/>
                <w:b/>
              </w:rPr>
              <w:t>Обеспечение заявки:</w:t>
            </w:r>
          </w:p>
        </w:tc>
      </w:tr>
      <w:tr w:rsidR="0066182F" w:rsidTr="00582DC1">
        <w:tc>
          <w:tcPr>
            <w:tcW w:w="567" w:type="dxa"/>
            <w:vMerge/>
            <w:vAlign w:val="center"/>
          </w:tcPr>
          <w:p w:rsidR="0066182F" w:rsidRDefault="0066182F" w:rsidP="00661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66182F" w:rsidRPr="00954F87" w:rsidRDefault="0066182F" w:rsidP="001D4294">
            <w:pPr>
              <w:ind w:firstLine="743"/>
              <w:rPr>
                <w:rFonts w:ascii="Times New Roman" w:hAnsi="Times New Roman" w:cs="Times New Roman"/>
              </w:rPr>
            </w:pPr>
            <w:r w:rsidRPr="00954F87">
              <w:rPr>
                <w:rFonts w:ascii="Times New Roman" w:hAnsi="Times New Roman" w:cs="Times New Roman"/>
              </w:rPr>
              <w:t>Размер</w:t>
            </w:r>
            <w:r w:rsidR="00954F87">
              <w:rPr>
                <w:rFonts w:ascii="Times New Roman" w:hAnsi="Times New Roman" w:cs="Times New Roman"/>
              </w:rPr>
              <w:t xml:space="preserve"> обеспечения заявки составляет 0,5 </w:t>
            </w:r>
            <w:r w:rsidRPr="00954F87">
              <w:rPr>
                <w:rFonts w:ascii="Times New Roman" w:hAnsi="Times New Roman" w:cs="Times New Roman"/>
              </w:rPr>
              <w:t>% от начальн</w:t>
            </w:r>
            <w:r w:rsidR="00954F87">
              <w:rPr>
                <w:rFonts w:ascii="Times New Roman" w:hAnsi="Times New Roman" w:cs="Times New Roman"/>
              </w:rPr>
              <w:t xml:space="preserve">ой (максимальной) цены договора, то есть </w:t>
            </w:r>
            <w:r w:rsidR="00E32CC4">
              <w:rPr>
                <w:rFonts w:ascii="Times New Roman" w:hAnsi="Times New Roman" w:cs="Times New Roman"/>
              </w:rPr>
              <w:t>210</w:t>
            </w:r>
            <w:r w:rsidR="00954F87">
              <w:rPr>
                <w:rFonts w:ascii="Times New Roman" w:hAnsi="Times New Roman" w:cs="Times New Roman"/>
              </w:rPr>
              <w:t xml:space="preserve"> 000,00 руб. </w:t>
            </w:r>
          </w:p>
        </w:tc>
      </w:tr>
      <w:tr w:rsidR="0066182F" w:rsidTr="00582DC1">
        <w:tc>
          <w:tcPr>
            <w:tcW w:w="567" w:type="dxa"/>
            <w:vMerge w:val="restart"/>
            <w:vAlign w:val="center"/>
          </w:tcPr>
          <w:p w:rsidR="0066182F" w:rsidRDefault="00105518" w:rsidP="00661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647" w:type="dxa"/>
            <w:gridSpan w:val="2"/>
          </w:tcPr>
          <w:p w:rsidR="0066182F" w:rsidRPr="00954F87" w:rsidRDefault="0066182F" w:rsidP="0066182F">
            <w:pPr>
              <w:rPr>
                <w:rFonts w:ascii="Times New Roman" w:hAnsi="Times New Roman" w:cs="Times New Roman"/>
                <w:b/>
              </w:rPr>
            </w:pPr>
            <w:r w:rsidRPr="00954F87">
              <w:rPr>
                <w:rFonts w:ascii="Times New Roman" w:hAnsi="Times New Roman" w:cs="Times New Roman"/>
                <w:b/>
              </w:rPr>
              <w:t>Обеспечение договора:</w:t>
            </w:r>
          </w:p>
        </w:tc>
      </w:tr>
      <w:tr w:rsidR="0066182F" w:rsidTr="00582DC1">
        <w:tc>
          <w:tcPr>
            <w:tcW w:w="567" w:type="dxa"/>
            <w:vMerge/>
            <w:vAlign w:val="center"/>
          </w:tcPr>
          <w:p w:rsidR="0066182F" w:rsidRDefault="0066182F" w:rsidP="00661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66182F" w:rsidRPr="00954F87" w:rsidRDefault="0066182F" w:rsidP="001D4294">
            <w:pPr>
              <w:ind w:firstLine="743"/>
              <w:rPr>
                <w:rFonts w:ascii="Times New Roman" w:hAnsi="Times New Roman" w:cs="Times New Roman"/>
              </w:rPr>
            </w:pPr>
            <w:r w:rsidRPr="00954F87">
              <w:rPr>
                <w:rFonts w:ascii="Times New Roman" w:hAnsi="Times New Roman" w:cs="Times New Roman"/>
              </w:rPr>
              <w:t>Размер о</w:t>
            </w:r>
            <w:r w:rsidR="00954F87">
              <w:rPr>
                <w:rFonts w:ascii="Times New Roman" w:hAnsi="Times New Roman" w:cs="Times New Roman"/>
              </w:rPr>
              <w:t xml:space="preserve">беспечения договора составляет  5 </w:t>
            </w:r>
            <w:r w:rsidRPr="00954F87">
              <w:rPr>
                <w:rFonts w:ascii="Times New Roman" w:hAnsi="Times New Roman" w:cs="Times New Roman"/>
              </w:rPr>
              <w:t>% от начальной (максимальной) цены договора.</w:t>
            </w:r>
          </w:p>
        </w:tc>
      </w:tr>
      <w:tr w:rsidR="004D6AB3" w:rsidTr="00582DC1">
        <w:tc>
          <w:tcPr>
            <w:tcW w:w="567" w:type="dxa"/>
            <w:vMerge w:val="restart"/>
          </w:tcPr>
          <w:p w:rsidR="004D6AB3" w:rsidRPr="004C4F8C" w:rsidRDefault="00105518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7" w:type="dxa"/>
            <w:gridSpan w:val="2"/>
          </w:tcPr>
          <w:p w:rsidR="004D6AB3" w:rsidRPr="00954F87" w:rsidRDefault="004D6AB3" w:rsidP="007D413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F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Участник должен сделать предложение по следующим критериям:</w:t>
            </w:r>
          </w:p>
        </w:tc>
      </w:tr>
      <w:tr w:rsidR="004D6AB3" w:rsidTr="00582DC1">
        <w:tc>
          <w:tcPr>
            <w:tcW w:w="567" w:type="dxa"/>
            <w:vMerge/>
          </w:tcPr>
          <w:p w:rsidR="004D6AB3" w:rsidRPr="004C4F8C" w:rsidRDefault="004D6AB3" w:rsidP="007D41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4D6AB3" w:rsidRPr="00954F87" w:rsidRDefault="004D6AB3" w:rsidP="005226DD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val="en-US" w:eastAsia="ru-RU"/>
              </w:rPr>
              <w:t>I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>Для оценки участников по критерию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«цена за единицу продукции»</w:t>
            </w:r>
            <w:r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 xml:space="preserve"> Участник процедуры закупки указывает в заявке </w:t>
            </w:r>
            <w:r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u w:val="single"/>
                <w:lang w:eastAsia="ru-RU"/>
              </w:rPr>
              <w:t>одинаковый размер (процент) снижения</w:t>
            </w:r>
            <w:r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 xml:space="preserve"> в отношении всех стоимостных величин единиц продукции (услуг) </w:t>
            </w:r>
            <w:r w:rsidR="00DD2640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(значимость критерия </w:t>
            </w:r>
            <w:r w:rsidR="0029753F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– 7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0%):</w:t>
            </w:r>
          </w:p>
          <w:p w:rsidR="004D6AB3" w:rsidRPr="00954F87" w:rsidRDefault="004D6AB3" w:rsidP="005226DD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1)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8A3CFA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к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омиссионный сбор за </w:t>
            </w:r>
            <w:r w:rsidR="00A247BF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услугу по бронированию гостиницы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 xml:space="preserve">не более </w:t>
            </w:r>
            <w:r w:rsidR="0094641D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250</w:t>
            </w:r>
            <w:r w:rsidR="003E5CAA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руб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.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  <w:r w:rsidR="008A3CFA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;</w:t>
            </w:r>
          </w:p>
          <w:p w:rsidR="004D6AB3" w:rsidRPr="00954F87" w:rsidRDefault="004D6AB3" w:rsidP="005226DD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2)</w:t>
            </w:r>
            <w:r w:rsidR="008A3CFA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омиссионный сбор за </w:t>
            </w:r>
            <w:r w:rsidR="00A247BF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услугу по отмене бронирования гостиницы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>не более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931A34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150</w:t>
            </w:r>
            <w:r w:rsidR="003E5CAA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руб.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  <w:r w:rsidR="008A3CFA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;</w:t>
            </w:r>
          </w:p>
          <w:p w:rsidR="004D6AB3" w:rsidRPr="00954F87" w:rsidRDefault="004D6AB3" w:rsidP="005226DD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3)</w:t>
            </w:r>
            <w:r w:rsidR="008A3CFA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</w:t>
            </w:r>
            <w:r w:rsidR="00A247BF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омиссионный сбор за услугу по изменению бронирования </w:t>
            </w:r>
            <w:proofErr w:type="gramStart"/>
            <w:r w:rsidR="00A247BF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гостиницы 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>не</w:t>
            </w:r>
            <w:proofErr w:type="gramEnd"/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 xml:space="preserve"> более</w:t>
            </w:r>
            <w:r w:rsidR="00931A34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94641D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20</w:t>
            </w:r>
            <w:r w:rsidR="00931A34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0 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руб.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</w:p>
          <w:p w:rsidR="003E5CAA" w:rsidRPr="00954F87" w:rsidRDefault="004D6AB3" w:rsidP="005226DD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val="en-US" w:eastAsia="ru-RU"/>
              </w:rPr>
              <w:t>II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Квалификация участника</w:t>
            </w:r>
            <w:r w:rsidR="00B279A8"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 </w:t>
            </w:r>
            <w:r w:rsidR="00B279A8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(значимость критерия – 30%)</w:t>
            </w:r>
            <w:r w:rsidR="003E5CAA"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:</w:t>
            </w:r>
          </w:p>
          <w:p w:rsidR="006C6C69" w:rsidRPr="00954F87" w:rsidRDefault="008A3CFA" w:rsidP="002C014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319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наличие </w:t>
            </w:r>
            <w:r w:rsidR="004D6AB3"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опыт</w:t>
            </w:r>
            <w:r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а</w:t>
            </w:r>
            <w:r w:rsidR="004D6AB3"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 успешного оказания</w:t>
            </w:r>
            <w:r w:rsidRPr="00954F87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 услуг </w:t>
            </w:r>
            <w:r w:rsidR="004D6AB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с</w:t>
            </w:r>
            <w:r w:rsidR="005226DD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опоставимого характера и объема</w:t>
            </w:r>
            <w:r w:rsidR="004D6AB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организациям</w:t>
            </w:r>
            <w:r w:rsidR="005E38CF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</w:t>
            </w:r>
            <w:r w:rsidR="004D6AB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любо</w:t>
            </w:r>
            <w:r w:rsidR="006C6C69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й организационно-правовой формы.</w:t>
            </w:r>
          </w:p>
          <w:p w:rsidR="006C6C69" w:rsidRPr="00954F87" w:rsidRDefault="005226DD" w:rsidP="006C6C69">
            <w:pPr>
              <w:pStyle w:val="a4"/>
              <w:spacing w:after="0" w:line="240" w:lineRule="auto"/>
              <w:ind w:left="0"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F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сопоставимым характером понимается успешный опыт оказания услу</w:t>
            </w:r>
            <w:r w:rsidR="00776488" w:rsidRPr="00954F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 по </w:t>
            </w:r>
            <w:r w:rsidR="00223A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бронированию гостиниц</w:t>
            </w:r>
            <w:r w:rsidRPr="00954F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752A" w:rsidRDefault="005226DD" w:rsidP="003F752A">
            <w:pPr>
              <w:pStyle w:val="a4"/>
              <w:spacing w:after="0" w:line="240" w:lineRule="auto"/>
              <w:ind w:left="0"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F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сопоставимым объёмом понимается</w:t>
            </w:r>
            <w:r w:rsidR="00776488" w:rsidRPr="00954F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исполнение договора на любую сумму. </w:t>
            </w:r>
          </w:p>
          <w:p w:rsidR="003F752A" w:rsidRPr="003F752A" w:rsidRDefault="005226DD" w:rsidP="003F752A">
            <w:pPr>
              <w:pStyle w:val="a4"/>
              <w:spacing w:after="0" w:line="240" w:lineRule="auto"/>
              <w:ind w:left="0"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оценки участника по данному подкритерию </w:t>
            </w:r>
            <w:r w:rsidR="003F752A" w:rsidRPr="003F7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принимаются исполненные д</w:t>
            </w:r>
            <w:r w:rsidR="00BF2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оговоры за период с 2018 по 2023</w:t>
            </w:r>
            <w:r w:rsidR="003F752A" w:rsidRPr="003F7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752A" w:rsidRPr="003F7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="003F752A" w:rsidRPr="003F7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2A" w:rsidRPr="003F752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(значимость подкритерия – 50%);</w:t>
            </w:r>
          </w:p>
          <w:p w:rsidR="00EB0A66" w:rsidRPr="00292BEA" w:rsidRDefault="00292BEA" w:rsidP="00EB0A66">
            <w:pPr>
              <w:pStyle w:val="a4"/>
              <w:keepNext/>
              <w:numPr>
                <w:ilvl w:val="0"/>
                <w:numId w:val="3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0"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Д</w:t>
            </w:r>
            <w:r w:rsidR="00D5202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еловая репутация. </w:t>
            </w:r>
            <w:r w:rsidR="00EB0A66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Наличие документов, </w:t>
            </w:r>
            <w:proofErr w:type="spellStart"/>
            <w:r w:rsidR="00EB0A66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потверждающие</w:t>
            </w:r>
            <w:proofErr w:type="spellEnd"/>
            <w:r w:rsidR="00EB0A66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положительную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деловую репутацию, а именно предоставление копий</w:t>
            </w:r>
            <w:r w:rsidR="00632A37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отзывов, </w:t>
            </w:r>
            <w:proofErr w:type="spellStart"/>
            <w:r w:rsidR="00632A37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lastRenderedPageBreak/>
              <w:t>благодарноственных</w:t>
            </w:r>
            <w:proofErr w:type="spellEnd"/>
            <w:r w:rsidR="00632A37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писем, грамот, ди</w:t>
            </w:r>
            <w:r w:rsidR="00CD558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пломов.</w:t>
            </w:r>
            <w:r w:rsidR="0001753D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По данному подкритерию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наибольшее количество баллов присуждается участнику, предоставившему наибольшее количество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копий 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отзывов,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благодарноственных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писем, грамот, дипломов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CD558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(значимость </w:t>
            </w:r>
            <w:r w:rsidR="008129C7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под</w:t>
            </w:r>
            <w:r w:rsidR="00CD5583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критерия – 5</w:t>
            </w:r>
            <w:r w:rsidR="00632A37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0%).</w:t>
            </w:r>
          </w:p>
        </w:tc>
      </w:tr>
    </w:tbl>
    <w:p w:rsidR="00EC4C5F" w:rsidRDefault="00EC4C5F" w:rsidP="00DE71CF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:rsidR="00822FBD" w:rsidRDefault="00822FBD" w:rsidP="00DE71CF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4A0CD7" w:rsidRDefault="004A0CD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595782">
      <w:pPr>
        <w:spacing w:after="60" w:line="240" w:lineRule="auto"/>
        <w:ind w:left="851"/>
        <w:jc w:val="right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F91687" w:rsidRDefault="00F91687" w:rsidP="003F752A">
      <w:pPr>
        <w:spacing w:after="60" w:line="240" w:lineRule="auto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sectPr w:rsidR="00F91687" w:rsidSect="000A216B">
      <w:pgSz w:w="11906" w:h="16838"/>
      <w:pgMar w:top="1134" w:right="991" w:bottom="1106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84360"/>
    <w:multiLevelType w:val="hybridMultilevel"/>
    <w:tmpl w:val="E18443D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2D44337F"/>
    <w:multiLevelType w:val="multilevel"/>
    <w:tmpl w:val="BBA05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33E80A39"/>
    <w:multiLevelType w:val="hybridMultilevel"/>
    <w:tmpl w:val="A91A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134977"/>
    <w:multiLevelType w:val="multilevel"/>
    <w:tmpl w:val="F9FE13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4BFB26BD"/>
    <w:multiLevelType w:val="hybridMultilevel"/>
    <w:tmpl w:val="A226F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A48C8"/>
    <w:multiLevelType w:val="hybridMultilevel"/>
    <w:tmpl w:val="D9F4FC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881517"/>
    <w:multiLevelType w:val="multilevel"/>
    <w:tmpl w:val="BBA05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0200C"/>
    <w:rsid w:val="0001753D"/>
    <w:rsid w:val="00032417"/>
    <w:rsid w:val="000419B4"/>
    <w:rsid w:val="0007019F"/>
    <w:rsid w:val="000938FC"/>
    <w:rsid w:val="000A216B"/>
    <w:rsid w:val="000A288F"/>
    <w:rsid w:val="000B2B47"/>
    <w:rsid w:val="000B4FBC"/>
    <w:rsid w:val="000D5BB3"/>
    <w:rsid w:val="000E10AC"/>
    <w:rsid w:val="000E3EF7"/>
    <w:rsid w:val="00105518"/>
    <w:rsid w:val="00110FB0"/>
    <w:rsid w:val="00112BDD"/>
    <w:rsid w:val="00154191"/>
    <w:rsid w:val="001611D8"/>
    <w:rsid w:val="001616B0"/>
    <w:rsid w:val="001727C5"/>
    <w:rsid w:val="001744BA"/>
    <w:rsid w:val="00195498"/>
    <w:rsid w:val="001B6AA3"/>
    <w:rsid w:val="001D4294"/>
    <w:rsid w:val="001D66CC"/>
    <w:rsid w:val="001F0CFA"/>
    <w:rsid w:val="00207374"/>
    <w:rsid w:val="00223A8B"/>
    <w:rsid w:val="00244A4D"/>
    <w:rsid w:val="00252456"/>
    <w:rsid w:val="002672AE"/>
    <w:rsid w:val="00292BEA"/>
    <w:rsid w:val="0029753F"/>
    <w:rsid w:val="002D4FA9"/>
    <w:rsid w:val="002D75D1"/>
    <w:rsid w:val="00334316"/>
    <w:rsid w:val="003530C3"/>
    <w:rsid w:val="003624F4"/>
    <w:rsid w:val="003648B0"/>
    <w:rsid w:val="00371999"/>
    <w:rsid w:val="00380DC0"/>
    <w:rsid w:val="00381D36"/>
    <w:rsid w:val="00385862"/>
    <w:rsid w:val="003C12FF"/>
    <w:rsid w:val="003C3987"/>
    <w:rsid w:val="003E5CAA"/>
    <w:rsid w:val="003F752A"/>
    <w:rsid w:val="00412323"/>
    <w:rsid w:val="00417F52"/>
    <w:rsid w:val="004205EC"/>
    <w:rsid w:val="004351FB"/>
    <w:rsid w:val="004376FC"/>
    <w:rsid w:val="004410E2"/>
    <w:rsid w:val="004736D9"/>
    <w:rsid w:val="0048170F"/>
    <w:rsid w:val="004A0CD7"/>
    <w:rsid w:val="004B467C"/>
    <w:rsid w:val="004B67CA"/>
    <w:rsid w:val="004C4CBA"/>
    <w:rsid w:val="004C4F8C"/>
    <w:rsid w:val="004D6AB3"/>
    <w:rsid w:val="004E3CC4"/>
    <w:rsid w:val="004E58BF"/>
    <w:rsid w:val="005226DD"/>
    <w:rsid w:val="00546F54"/>
    <w:rsid w:val="00550FB0"/>
    <w:rsid w:val="00582DC1"/>
    <w:rsid w:val="00595782"/>
    <w:rsid w:val="00595AF4"/>
    <w:rsid w:val="005A00DB"/>
    <w:rsid w:val="005E38CF"/>
    <w:rsid w:val="006127CF"/>
    <w:rsid w:val="00625B0F"/>
    <w:rsid w:val="00626810"/>
    <w:rsid w:val="00632A37"/>
    <w:rsid w:val="00636212"/>
    <w:rsid w:val="00636C28"/>
    <w:rsid w:val="00645A26"/>
    <w:rsid w:val="00657128"/>
    <w:rsid w:val="0066182F"/>
    <w:rsid w:val="00677175"/>
    <w:rsid w:val="00677EB9"/>
    <w:rsid w:val="00692790"/>
    <w:rsid w:val="006977F2"/>
    <w:rsid w:val="006C6350"/>
    <w:rsid w:val="006C6C69"/>
    <w:rsid w:val="006E62F1"/>
    <w:rsid w:val="006E6D88"/>
    <w:rsid w:val="006F4F4D"/>
    <w:rsid w:val="00732DB7"/>
    <w:rsid w:val="00760C81"/>
    <w:rsid w:val="00776488"/>
    <w:rsid w:val="00777CAF"/>
    <w:rsid w:val="0079669F"/>
    <w:rsid w:val="007A3D64"/>
    <w:rsid w:val="007D413F"/>
    <w:rsid w:val="007D491B"/>
    <w:rsid w:val="007F7293"/>
    <w:rsid w:val="00802005"/>
    <w:rsid w:val="008129C7"/>
    <w:rsid w:val="00822FBD"/>
    <w:rsid w:val="00843EEC"/>
    <w:rsid w:val="00872F68"/>
    <w:rsid w:val="00881BB8"/>
    <w:rsid w:val="0089353F"/>
    <w:rsid w:val="008A3CFA"/>
    <w:rsid w:val="008B5A2C"/>
    <w:rsid w:val="008E776F"/>
    <w:rsid w:val="00916274"/>
    <w:rsid w:val="00924A7A"/>
    <w:rsid w:val="00931A34"/>
    <w:rsid w:val="009354A2"/>
    <w:rsid w:val="00937CB6"/>
    <w:rsid w:val="009409B1"/>
    <w:rsid w:val="0094641D"/>
    <w:rsid w:val="00952F60"/>
    <w:rsid w:val="00954F87"/>
    <w:rsid w:val="009601CE"/>
    <w:rsid w:val="009649C0"/>
    <w:rsid w:val="00972650"/>
    <w:rsid w:val="00985986"/>
    <w:rsid w:val="009A209C"/>
    <w:rsid w:val="009A30BB"/>
    <w:rsid w:val="009E08A5"/>
    <w:rsid w:val="009E6B32"/>
    <w:rsid w:val="009F4E2E"/>
    <w:rsid w:val="00A06AF3"/>
    <w:rsid w:val="00A247BF"/>
    <w:rsid w:val="00A43404"/>
    <w:rsid w:val="00A53226"/>
    <w:rsid w:val="00A56609"/>
    <w:rsid w:val="00A83795"/>
    <w:rsid w:val="00AA6383"/>
    <w:rsid w:val="00AA761A"/>
    <w:rsid w:val="00AD146D"/>
    <w:rsid w:val="00AD6BF3"/>
    <w:rsid w:val="00AF3A27"/>
    <w:rsid w:val="00AF3F8B"/>
    <w:rsid w:val="00B05F03"/>
    <w:rsid w:val="00B1495D"/>
    <w:rsid w:val="00B25942"/>
    <w:rsid w:val="00B279A8"/>
    <w:rsid w:val="00B36173"/>
    <w:rsid w:val="00B640A5"/>
    <w:rsid w:val="00B754C4"/>
    <w:rsid w:val="00B81AAF"/>
    <w:rsid w:val="00B96576"/>
    <w:rsid w:val="00B96B01"/>
    <w:rsid w:val="00BC583B"/>
    <w:rsid w:val="00BD203A"/>
    <w:rsid w:val="00BE2D72"/>
    <w:rsid w:val="00BE458B"/>
    <w:rsid w:val="00BF23BE"/>
    <w:rsid w:val="00BF3A61"/>
    <w:rsid w:val="00C3471E"/>
    <w:rsid w:val="00C51AE7"/>
    <w:rsid w:val="00C53764"/>
    <w:rsid w:val="00C55C85"/>
    <w:rsid w:val="00C7406A"/>
    <w:rsid w:val="00C90A5C"/>
    <w:rsid w:val="00CB2A06"/>
    <w:rsid w:val="00CB6C27"/>
    <w:rsid w:val="00CC209A"/>
    <w:rsid w:val="00CC4BF1"/>
    <w:rsid w:val="00CD5583"/>
    <w:rsid w:val="00D01B37"/>
    <w:rsid w:val="00D11BC5"/>
    <w:rsid w:val="00D23150"/>
    <w:rsid w:val="00D36A41"/>
    <w:rsid w:val="00D42C36"/>
    <w:rsid w:val="00D4324A"/>
    <w:rsid w:val="00D50AE1"/>
    <w:rsid w:val="00D52023"/>
    <w:rsid w:val="00D57E8F"/>
    <w:rsid w:val="00DA16E2"/>
    <w:rsid w:val="00DD2640"/>
    <w:rsid w:val="00DE71CF"/>
    <w:rsid w:val="00DE7A0C"/>
    <w:rsid w:val="00DF21CD"/>
    <w:rsid w:val="00E00F24"/>
    <w:rsid w:val="00E079A6"/>
    <w:rsid w:val="00E103A0"/>
    <w:rsid w:val="00E164C4"/>
    <w:rsid w:val="00E32CA3"/>
    <w:rsid w:val="00E32CC4"/>
    <w:rsid w:val="00E364CC"/>
    <w:rsid w:val="00E75869"/>
    <w:rsid w:val="00E86A7C"/>
    <w:rsid w:val="00E97409"/>
    <w:rsid w:val="00EA3C14"/>
    <w:rsid w:val="00EB0A66"/>
    <w:rsid w:val="00EC4C5F"/>
    <w:rsid w:val="00EC64DC"/>
    <w:rsid w:val="00ED200A"/>
    <w:rsid w:val="00F036EC"/>
    <w:rsid w:val="00F050A9"/>
    <w:rsid w:val="00F25919"/>
    <w:rsid w:val="00F43060"/>
    <w:rsid w:val="00F5285F"/>
    <w:rsid w:val="00F611C3"/>
    <w:rsid w:val="00F8189D"/>
    <w:rsid w:val="00F86802"/>
    <w:rsid w:val="00F91687"/>
    <w:rsid w:val="00F95930"/>
    <w:rsid w:val="00FB6EB2"/>
    <w:rsid w:val="00FE0403"/>
    <w:rsid w:val="00FE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DFB4"/>
  <w15:docId w15:val="{3F4BF195-0818-4DEF-B47F-09AEA09D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C5F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A77A3-E126-4E6C-97FC-22099F8F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И.Г.</cp:lastModifiedBy>
  <cp:revision>7</cp:revision>
  <cp:lastPrinted>2023-04-04T08:45:00Z</cp:lastPrinted>
  <dcterms:created xsi:type="dcterms:W3CDTF">2023-03-30T10:43:00Z</dcterms:created>
  <dcterms:modified xsi:type="dcterms:W3CDTF">2023-04-10T11:55:00Z</dcterms:modified>
</cp:coreProperties>
</file>