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 xml:space="preserve">Акционерное общество "Научно-производственное объединение автоматики имени академика </w:t>
      </w:r>
      <w:proofErr w:type="spellStart"/>
      <w:r w:rsidRPr="000C1601">
        <w:rPr>
          <w:rFonts w:ascii="Times New Roman" w:hAnsi="Times New Roman" w:cs="Times New Roman"/>
          <w:b/>
          <w:sz w:val="18"/>
          <w:szCs w:val="18"/>
        </w:rPr>
        <w:t>Н.А.Семихатова</w:t>
      </w:r>
      <w:proofErr w:type="spellEnd"/>
      <w:r w:rsidRPr="000C1601">
        <w:rPr>
          <w:rFonts w:ascii="Times New Roman" w:hAnsi="Times New Roman" w:cs="Times New Roman"/>
          <w:b/>
          <w:sz w:val="18"/>
          <w:szCs w:val="18"/>
        </w:rPr>
        <w:t xml:space="preserve">"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94416">
        <w:rPr>
          <w:rFonts w:ascii="Times New Roman" w:hAnsi="Times New Roman" w:cs="Times New Roman"/>
          <w:b/>
          <w:sz w:val="18"/>
          <w:szCs w:val="18"/>
        </w:rPr>
        <w:t xml:space="preserve"> </w:t>
      </w:r>
      <w:r w:rsidR="0097082E">
        <w:rPr>
          <w:rFonts w:ascii="Times New Roman" w:hAnsi="Times New Roman" w:cs="Times New Roman"/>
          <w:b/>
          <w:sz w:val="18"/>
          <w:szCs w:val="18"/>
        </w:rPr>
        <w:t>коммерческого директора – начальника центра Пестовой Екатерины Владимировны</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0097082E">
        <w:rPr>
          <w:rFonts w:ascii="Times New Roman" w:hAnsi="Times New Roman" w:cs="Times New Roman"/>
          <w:sz w:val="18"/>
          <w:szCs w:val="18"/>
        </w:rPr>
        <w:t>действующей</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D737C5">
        <w:rPr>
          <w:rFonts w:ascii="Times New Roman" w:hAnsi="Times New Roman" w:cs="Times New Roman"/>
          <w:sz w:val="18"/>
          <w:szCs w:val="18"/>
        </w:rPr>
        <w:t>№018</w:t>
      </w:r>
      <w:r w:rsidR="0097082E">
        <w:rPr>
          <w:rFonts w:ascii="Times New Roman" w:hAnsi="Times New Roman" w:cs="Times New Roman"/>
          <w:sz w:val="18"/>
          <w:szCs w:val="18"/>
        </w:rPr>
        <w:t>/74 от 01.01.2023</w:t>
      </w:r>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1174">
        <w:rPr>
          <w:rFonts w:ascii="Times New Roman" w:hAnsi="Times New Roman" w:cs="Times New Roman"/>
          <w:b/>
          <w:sz w:val="18"/>
          <w:szCs w:val="18"/>
        </w:rPr>
        <w:t>_____________________________________</w:t>
      </w:r>
      <w:r w:rsidR="004E5CD5">
        <w:rPr>
          <w:rFonts w:ascii="Times New Roman" w:hAnsi="Times New Roman" w:cs="Times New Roman"/>
          <w:b/>
          <w:sz w:val="18"/>
          <w:szCs w:val="18"/>
        </w:rPr>
        <w:t>,</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1D1174">
        <w:rPr>
          <w:rFonts w:ascii="Times New Roman" w:hAnsi="Times New Roman" w:cs="Times New Roman"/>
          <w:b/>
          <w:sz w:val="18"/>
          <w:szCs w:val="18"/>
        </w:rPr>
        <w:t>_______________________________</w:t>
      </w:r>
      <w:r w:rsidR="00491432" w:rsidRPr="004E5CD5">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 </w:t>
      </w:r>
      <w:r w:rsidR="00494416">
        <w:rPr>
          <w:rFonts w:ascii="Times New Roman" w:hAnsi="Times New Roman" w:cs="Times New Roman"/>
          <w:sz w:val="18"/>
          <w:szCs w:val="18"/>
        </w:rPr>
        <w:t>устава</w:t>
      </w:r>
      <w:r w:rsidR="00394385" w:rsidRPr="000C1601">
        <w:rPr>
          <w:rFonts w:ascii="Times New Roman" w:hAnsi="Times New Roman" w:cs="Times New Roman"/>
          <w:i/>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w:t>
      </w:r>
      <w:proofErr w:type="spellStart"/>
      <w:r w:rsidR="00903074" w:rsidRPr="000C1601">
        <w:rPr>
          <w:rFonts w:ascii="Times New Roman" w:hAnsi="Times New Roman" w:cs="Times New Roman"/>
          <w:bCs/>
          <w:sz w:val="18"/>
          <w:szCs w:val="18"/>
        </w:rPr>
        <w:t>Роскосмос</w:t>
      </w:r>
      <w:proofErr w:type="spellEnd"/>
      <w:r w:rsidR="00903074" w:rsidRPr="000C1601">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2E0907">
        <w:rPr>
          <w:rFonts w:ascii="Times New Roman" w:hAnsi="Times New Roman" w:cs="Times New Roman"/>
          <w:sz w:val="18"/>
          <w:szCs w:val="18"/>
        </w:rPr>
        <w:t>блок питания и сигнализации</w:t>
      </w:r>
      <w:r w:rsidR="00964A9E">
        <w:rPr>
          <w:rFonts w:ascii="Times New Roman" w:hAnsi="Times New Roman" w:cs="Times New Roman"/>
          <w:sz w:val="18"/>
          <w:szCs w:val="18"/>
        </w:rPr>
        <w:t xml:space="preserve"> </w:t>
      </w:r>
      <w:r w:rsidR="001156C9">
        <w:rPr>
          <w:rFonts w:ascii="Times New Roman" w:hAnsi="Times New Roman" w:cs="Times New Roman"/>
          <w:sz w:val="18"/>
          <w:szCs w:val="18"/>
        </w:rPr>
        <w:t>_________________</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924906">
        <w:rPr>
          <w:rFonts w:ascii="Times New Roman" w:hAnsi="Times New Roman" w:cs="Times New Roman"/>
          <w:sz w:val="18"/>
          <w:szCs w:val="18"/>
        </w:rPr>
        <w:t>______________________________________________.</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394385" w:rsidRDefault="00394385" w:rsidP="00B71B06">
      <w:pPr>
        <w:numPr>
          <w:ilvl w:val="1"/>
          <w:numId w:val="2"/>
        </w:numPr>
        <w:spacing w:after="160" w:line="259" w:lineRule="auto"/>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Цена Договора составляет </w:t>
      </w:r>
      <w:r w:rsidR="0017218E">
        <w:rPr>
          <w:rFonts w:ascii="Times New Roman" w:hAnsi="Times New Roman" w:cs="Times New Roman"/>
          <w:b/>
          <w:sz w:val="18"/>
          <w:szCs w:val="18"/>
          <w:u w:val="single"/>
        </w:rPr>
        <w:t>_______________________</w:t>
      </w:r>
      <w:proofErr w:type="gramStart"/>
      <w:r w:rsidR="0017218E">
        <w:rPr>
          <w:rFonts w:ascii="Times New Roman" w:hAnsi="Times New Roman" w:cs="Times New Roman"/>
          <w:b/>
          <w:sz w:val="18"/>
          <w:szCs w:val="18"/>
          <w:u w:val="single"/>
        </w:rPr>
        <w:t>_</w:t>
      </w:r>
      <w:r w:rsidR="00A65E2E">
        <w:rPr>
          <w:rFonts w:ascii="Times New Roman" w:hAnsi="Times New Roman" w:cs="Times New Roman"/>
          <w:sz w:val="18"/>
          <w:szCs w:val="18"/>
        </w:rPr>
        <w:t>(</w:t>
      </w:r>
      <w:proofErr w:type="gramEnd"/>
      <w:r w:rsidR="0017218E">
        <w:rPr>
          <w:rFonts w:ascii="Times New Roman" w:hAnsi="Times New Roman" w:cs="Times New Roman"/>
          <w:sz w:val="18"/>
          <w:szCs w:val="18"/>
        </w:rPr>
        <w:t>____________________________</w:t>
      </w:r>
      <w:r w:rsidR="00A65E2E">
        <w:rPr>
          <w:rFonts w:ascii="Times New Roman" w:hAnsi="Times New Roman" w:cs="Times New Roman"/>
          <w:sz w:val="18"/>
          <w:szCs w:val="18"/>
        </w:rPr>
        <w:t xml:space="preserve">), в </w:t>
      </w:r>
      <w:proofErr w:type="spellStart"/>
      <w:r w:rsidR="00A65E2E">
        <w:rPr>
          <w:rFonts w:ascii="Times New Roman" w:hAnsi="Times New Roman" w:cs="Times New Roman"/>
          <w:sz w:val="18"/>
          <w:szCs w:val="18"/>
        </w:rPr>
        <w:t>т.ч</w:t>
      </w:r>
      <w:proofErr w:type="spellEnd"/>
      <w:r w:rsidR="00A65E2E">
        <w:rPr>
          <w:rFonts w:ascii="Times New Roman" w:hAnsi="Times New Roman" w:cs="Times New Roman"/>
          <w:sz w:val="18"/>
          <w:szCs w:val="18"/>
        </w:rPr>
        <w:t xml:space="preserve">. </w:t>
      </w:r>
      <w:r w:rsidR="001A2A97">
        <w:rPr>
          <w:rFonts w:ascii="Times New Roman" w:hAnsi="Times New Roman" w:cs="Times New Roman"/>
          <w:b/>
          <w:sz w:val="18"/>
          <w:szCs w:val="18"/>
        </w:rPr>
        <w:t>НДС</w:t>
      </w:r>
      <w:r w:rsidR="0017218E">
        <w:rPr>
          <w:rFonts w:ascii="Times New Roman" w:hAnsi="Times New Roman" w:cs="Times New Roman"/>
          <w:b/>
          <w:sz w:val="18"/>
          <w:szCs w:val="18"/>
          <w:u w:val="single"/>
        </w:rPr>
        <w:t>__________________</w:t>
      </w:r>
      <w:r w:rsidR="00902E51">
        <w:rPr>
          <w:rFonts w:ascii="Times New Roman" w:hAnsi="Times New Roman" w:cs="Times New Roman"/>
          <w:b/>
          <w:sz w:val="18"/>
          <w:szCs w:val="18"/>
          <w:u w:val="single"/>
        </w:rPr>
        <w:t xml:space="preserve"> </w:t>
      </w:r>
      <w:r w:rsidR="003C6EE7">
        <w:rPr>
          <w:rFonts w:ascii="Times New Roman" w:hAnsi="Times New Roman" w:cs="Times New Roman"/>
          <w:sz w:val="18"/>
          <w:szCs w:val="18"/>
        </w:rPr>
        <w:t>(</w:t>
      </w:r>
      <w:r w:rsidR="0017218E">
        <w:rPr>
          <w:rFonts w:ascii="Times New Roman" w:hAnsi="Times New Roman" w:cs="Times New Roman"/>
          <w:sz w:val="18"/>
          <w:szCs w:val="18"/>
        </w:rPr>
        <w:t>_______________________________________</w:t>
      </w:r>
      <w:r w:rsidR="00B71B06">
        <w:rPr>
          <w:rFonts w:ascii="Times New Roman" w:hAnsi="Times New Roman" w:cs="Times New Roman"/>
          <w:sz w:val="18"/>
          <w:szCs w:val="18"/>
        </w:rPr>
        <w:t>)</w:t>
      </w:r>
      <w:r w:rsidRPr="000C1601">
        <w:rPr>
          <w:rFonts w:ascii="Times New Roman" w:hAnsi="Times New Roman" w:cs="Times New Roman"/>
          <w:sz w:val="18"/>
          <w:szCs w:val="18"/>
        </w:rPr>
        <w:t xml:space="preserve">. </w:t>
      </w:r>
    </w:p>
    <w:p w:rsidR="002D1771" w:rsidRPr="000C1601" w:rsidRDefault="002D1771" w:rsidP="002D1771">
      <w:pPr>
        <w:spacing w:after="160" w:line="259" w:lineRule="auto"/>
        <w:ind w:left="1070"/>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ч.___НК</w:t>
      </w:r>
      <w:proofErr w:type="spellEnd"/>
      <w:r>
        <w:rPr>
          <w:rFonts w:ascii="Times New Roman" w:hAnsi="Times New Roman" w:cs="Times New Roman"/>
          <w:sz w:val="18"/>
          <w:szCs w:val="18"/>
        </w:rPr>
        <w:t xml:space="preserve"> РФ.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6D2DA8">
        <w:rPr>
          <w:rFonts w:ascii="Times New Roman" w:hAnsi="Times New Roman" w:cs="Times New Roman"/>
          <w:sz w:val="18"/>
          <w:szCs w:val="18"/>
        </w:rPr>
        <w:t>20</w:t>
      </w:r>
      <w:r w:rsidRPr="000C1601">
        <w:rPr>
          <w:rFonts w:ascii="Times New Roman" w:hAnsi="Times New Roman" w:cs="Times New Roman"/>
          <w:sz w:val="18"/>
          <w:szCs w:val="18"/>
        </w:rPr>
        <w:t xml:space="preserve"> (</w:t>
      </w:r>
      <w:r w:rsidR="006D2DA8">
        <w:rPr>
          <w:rFonts w:ascii="Times New Roman" w:hAnsi="Times New Roman" w:cs="Times New Roman"/>
          <w:sz w:val="18"/>
          <w:szCs w:val="18"/>
        </w:rPr>
        <w:t>Двадцат</w:t>
      </w:r>
      <w:bookmarkStart w:id="0" w:name="_GoBack"/>
      <w:bookmarkEnd w:id="0"/>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proofErr w:type="spellStart"/>
        <w:r w:rsidR="00872EC5" w:rsidRPr="00F67DFF">
          <w:rPr>
            <w:rStyle w:val="a7"/>
            <w:rFonts w:ascii="Times New Roman" w:hAnsi="Times New Roman" w:cs="Times New Roman"/>
            <w:sz w:val="18"/>
            <w:szCs w:val="18"/>
            <w:lang w:val="en-US"/>
          </w:rPr>
          <w:t>ru</w:t>
        </w:r>
        <w:proofErr w:type="spellEnd"/>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A51BBD" w:rsidRPr="00F67DFF">
        <w:rPr>
          <w:rFonts w:ascii="Times New Roman" w:hAnsi="Times New Roman" w:cs="Times New Roman"/>
          <w:sz w:val="18"/>
          <w:szCs w:val="18"/>
        </w:rPr>
        <w:t xml:space="preserve">620043, </w:t>
      </w:r>
      <w:proofErr w:type="spellStart"/>
      <w:r w:rsidR="00A51BBD" w:rsidRPr="00F67DFF">
        <w:rPr>
          <w:rFonts w:ascii="Times New Roman" w:hAnsi="Times New Roman" w:cs="Times New Roman"/>
          <w:sz w:val="18"/>
          <w:szCs w:val="18"/>
        </w:rPr>
        <w:t>г.Екатери</w:t>
      </w:r>
      <w:r w:rsidR="00F67DFF">
        <w:rPr>
          <w:rFonts w:ascii="Times New Roman" w:hAnsi="Times New Roman" w:cs="Times New Roman"/>
          <w:sz w:val="18"/>
          <w:szCs w:val="18"/>
        </w:rPr>
        <w:t>нбург</w:t>
      </w:r>
      <w:proofErr w:type="spellEnd"/>
      <w:r w:rsidR="00F67DFF">
        <w:rPr>
          <w:rFonts w:ascii="Times New Roman" w:hAnsi="Times New Roman" w:cs="Times New Roman"/>
          <w:sz w:val="18"/>
          <w:szCs w:val="18"/>
        </w:rPr>
        <w:t>,</w:t>
      </w:r>
      <w:r w:rsidR="002E0907">
        <w:rPr>
          <w:rFonts w:ascii="Times New Roman" w:hAnsi="Times New Roman" w:cs="Times New Roman"/>
          <w:sz w:val="18"/>
          <w:szCs w:val="18"/>
        </w:rPr>
        <w:t xml:space="preserve"> </w:t>
      </w:r>
      <w:r w:rsidR="00F67DFF">
        <w:rPr>
          <w:rFonts w:ascii="Times New Roman" w:hAnsi="Times New Roman" w:cs="Times New Roman"/>
          <w:sz w:val="18"/>
          <w:szCs w:val="18"/>
        </w:rPr>
        <w:t xml:space="preserve">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394385">
      <w:pPr>
        <w:numPr>
          <w:ilvl w:val="0"/>
          <w:numId w:val="1"/>
        </w:numPr>
        <w:spacing w:after="160" w:line="259" w:lineRule="auto"/>
        <w:ind w:left="0" w:firstLine="709"/>
        <w:contextualSpacing/>
        <w:rPr>
          <w:rFonts w:ascii="Times New Roman" w:hAnsi="Times New Roman" w:cs="Times New Roman"/>
          <w:b/>
          <w:vanish/>
          <w:sz w:val="18"/>
          <w:szCs w:val="18"/>
        </w:rPr>
      </w:pPr>
    </w:p>
    <w:p w:rsidR="0097276D" w:rsidRPr="000C1601" w:rsidRDefault="00394385" w:rsidP="0097276D">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 xml:space="preserve">Товар должен быть исправным, новым, не бывшим в употреблении. Товар должен соответствовать </w:t>
      </w:r>
      <w:proofErr w:type="gramStart"/>
      <w:r w:rsidR="00394385" w:rsidRPr="000C1601">
        <w:rPr>
          <w:rFonts w:ascii="Times New Roman" w:hAnsi="Times New Roman" w:cs="Times New Roman"/>
          <w:sz w:val="18"/>
          <w:szCs w:val="18"/>
        </w:rPr>
        <w:t>требованиям</w:t>
      </w:r>
      <w:proofErr w:type="gramEnd"/>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5F2FD5" w:rsidRDefault="00394385" w:rsidP="005F2FD5">
      <w:pPr>
        <w:pStyle w:val="a3"/>
        <w:numPr>
          <w:ilvl w:val="0"/>
          <w:numId w:val="3"/>
        </w:numPr>
        <w:jc w:val="center"/>
        <w:rPr>
          <w:rFonts w:ascii="Times New Roman" w:hAnsi="Times New Roman" w:cs="Times New Roman"/>
          <w:b/>
          <w:sz w:val="18"/>
          <w:szCs w:val="18"/>
        </w:rPr>
      </w:pPr>
      <w:r w:rsidRPr="005F2FD5">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0C1601"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5F2FD5" w:rsidP="00394385">
      <w:pPr>
        <w:tabs>
          <w:tab w:val="left" w:pos="7140"/>
        </w:tabs>
        <w:jc w:val="center"/>
        <w:rPr>
          <w:rFonts w:ascii="Times New Roman" w:hAnsi="Times New Roman" w:cs="Times New Roman"/>
          <w:b/>
          <w:sz w:val="18"/>
          <w:szCs w:val="18"/>
        </w:rPr>
      </w:pPr>
      <w:r>
        <w:rPr>
          <w:rFonts w:ascii="Times New Roman" w:hAnsi="Times New Roman" w:cs="Times New Roman"/>
          <w:b/>
          <w:sz w:val="18"/>
          <w:szCs w:val="18"/>
        </w:rPr>
        <w:t xml:space="preserve">8. </w:t>
      </w:r>
      <w:r w:rsidR="00394385" w:rsidRPr="000C1601">
        <w:rPr>
          <w:rFonts w:ascii="Times New Roman" w:hAnsi="Times New Roman" w:cs="Times New Roman"/>
          <w:b/>
          <w:sz w:val="18"/>
          <w:szCs w:val="18"/>
        </w:rPr>
        <w:t>Ответственность Заказчика</w:t>
      </w:r>
    </w:p>
    <w:p w:rsidR="009B7BBE"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lastRenderedPageBreak/>
        <w:t>8.1.</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8.2.</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Заказчик не несет ответственность за неполную и (</w:t>
      </w:r>
      <w:proofErr w:type="gramStart"/>
      <w:r w:rsidR="0042661D" w:rsidRPr="000C1601">
        <w:rPr>
          <w:rFonts w:ascii="Times New Roman" w:hAnsi="Times New Roman" w:cs="Times New Roman"/>
          <w:sz w:val="18"/>
          <w:szCs w:val="18"/>
        </w:rPr>
        <w:t>или)  несвоевременную</w:t>
      </w:r>
      <w:proofErr w:type="gramEnd"/>
      <w:r w:rsidR="0042661D" w:rsidRPr="000C1601">
        <w:rPr>
          <w:rFonts w:ascii="Times New Roman" w:hAnsi="Times New Roman" w:cs="Times New Roman"/>
          <w:sz w:val="18"/>
          <w:szCs w:val="18"/>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5F2FD5"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8</w:t>
      </w:r>
      <w:r w:rsidR="009B7BBE" w:rsidRPr="000C1601">
        <w:rPr>
          <w:rFonts w:ascii="Times New Roman" w:hAnsi="Times New Roman" w:cs="Times New Roman"/>
          <w:sz w:val="18"/>
          <w:szCs w:val="18"/>
        </w:rPr>
        <w:t>.</w:t>
      </w:r>
      <w:r>
        <w:rPr>
          <w:rFonts w:ascii="Times New Roman" w:hAnsi="Times New Roman" w:cs="Times New Roman"/>
          <w:sz w:val="18"/>
          <w:szCs w:val="18"/>
        </w:rPr>
        <w:t>3.</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5F2FD5" w:rsidRDefault="00394385" w:rsidP="005F2FD5">
      <w:pPr>
        <w:pStyle w:val="a3"/>
        <w:numPr>
          <w:ilvl w:val="0"/>
          <w:numId w:val="14"/>
        </w:numPr>
        <w:jc w:val="center"/>
        <w:rPr>
          <w:rFonts w:ascii="Times New Roman" w:hAnsi="Times New Roman" w:cs="Times New Roman"/>
          <w:b/>
          <w:sz w:val="18"/>
          <w:szCs w:val="18"/>
        </w:rPr>
      </w:pPr>
      <w:r w:rsidRPr="005F2FD5">
        <w:rPr>
          <w:rFonts w:ascii="Times New Roman" w:hAnsi="Times New Roman" w:cs="Times New Roman"/>
          <w:b/>
          <w:sz w:val="18"/>
          <w:szCs w:val="18"/>
        </w:rPr>
        <w:t>Обстоятельства непреодолимой силы</w:t>
      </w:r>
    </w:p>
    <w:p w:rsidR="00394385" w:rsidRPr="005F2FD5" w:rsidRDefault="00394385" w:rsidP="005F2FD5">
      <w:pPr>
        <w:pStyle w:val="a3"/>
        <w:numPr>
          <w:ilvl w:val="1"/>
          <w:numId w:val="18"/>
        </w:numPr>
        <w:jc w:val="both"/>
        <w:rPr>
          <w:rFonts w:ascii="Times New Roman" w:hAnsi="Times New Roman" w:cs="Times New Roman"/>
          <w:sz w:val="18"/>
          <w:szCs w:val="18"/>
        </w:rPr>
      </w:pPr>
      <w:r w:rsidRPr="005F2FD5">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5F2FD5" w:rsidRDefault="00394385" w:rsidP="005F2FD5">
      <w:pPr>
        <w:pStyle w:val="a3"/>
        <w:numPr>
          <w:ilvl w:val="1"/>
          <w:numId w:val="18"/>
        </w:numPr>
        <w:jc w:val="both"/>
        <w:rPr>
          <w:rFonts w:ascii="Times New Roman" w:hAnsi="Times New Roman" w:cs="Times New Roman"/>
          <w:sz w:val="18"/>
          <w:szCs w:val="18"/>
        </w:rPr>
      </w:pPr>
      <w:r w:rsidRPr="005F2FD5">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sidRPr="005F2FD5">
        <w:rPr>
          <w:rFonts w:ascii="Times New Roman" w:hAnsi="Times New Roman" w:cs="Times New Roman"/>
          <w:sz w:val="18"/>
          <w:szCs w:val="18"/>
        </w:rPr>
        <w:t xml:space="preserve"> </w:t>
      </w:r>
      <w:r w:rsidRPr="005F2FD5">
        <w:rPr>
          <w:rFonts w:ascii="Times New Roman" w:hAnsi="Times New Roman" w:cs="Times New Roman"/>
          <w:sz w:val="18"/>
          <w:szCs w:val="18"/>
        </w:rPr>
        <w:t>дней</w:t>
      </w:r>
      <w:r w:rsidR="00F53517" w:rsidRPr="005F2FD5">
        <w:rPr>
          <w:rFonts w:ascii="Times New Roman" w:hAnsi="Times New Roman" w:cs="Times New Roman"/>
          <w:sz w:val="18"/>
          <w:szCs w:val="18"/>
        </w:rPr>
        <w:t xml:space="preserve"> </w:t>
      </w:r>
      <w:r w:rsidRPr="005F2FD5">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5F2FD5">
      <w:pPr>
        <w:numPr>
          <w:ilvl w:val="1"/>
          <w:numId w:val="18"/>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5F2FD5">
      <w:pPr>
        <w:numPr>
          <w:ilvl w:val="0"/>
          <w:numId w:val="18"/>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5F2FD5" w:rsidP="00252532">
      <w:pPr>
        <w:ind w:firstLine="708"/>
        <w:contextualSpacing/>
        <w:jc w:val="both"/>
        <w:rPr>
          <w:rFonts w:ascii="Times New Roman" w:hAnsi="Times New Roman" w:cs="Times New Roman"/>
          <w:sz w:val="18"/>
          <w:szCs w:val="18"/>
        </w:rPr>
      </w:pPr>
      <w:r>
        <w:rPr>
          <w:rFonts w:ascii="Times New Roman" w:hAnsi="Times New Roman" w:cs="Times New Roman"/>
          <w:sz w:val="18"/>
          <w:szCs w:val="18"/>
        </w:rPr>
        <w:t>10</w:t>
      </w:r>
      <w:r w:rsidR="00252532" w:rsidRPr="000C1601">
        <w:rPr>
          <w:rFonts w:ascii="Times New Roman" w:hAnsi="Times New Roman" w:cs="Times New Roman"/>
          <w:sz w:val="18"/>
          <w:szCs w:val="18"/>
        </w:rPr>
        <w:t>.</w:t>
      </w:r>
      <w:r>
        <w:rPr>
          <w:rFonts w:ascii="Times New Roman" w:hAnsi="Times New Roman" w:cs="Times New Roman"/>
          <w:sz w:val="18"/>
          <w:szCs w:val="18"/>
        </w:rPr>
        <w:t>1.</w:t>
      </w:r>
      <w:r w:rsidR="00252532" w:rsidRPr="000C1601">
        <w:rPr>
          <w:rFonts w:ascii="Times New Roman" w:hAnsi="Times New Roman" w:cs="Times New Roman"/>
          <w:sz w:val="18"/>
          <w:szCs w:val="18"/>
        </w:rPr>
        <w:t xml:space="preserve">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5F2FD5" w:rsidP="00394385">
      <w:pPr>
        <w:contextualSpacing/>
        <w:jc w:val="center"/>
        <w:rPr>
          <w:rFonts w:ascii="Times New Roman" w:hAnsi="Times New Roman" w:cs="Times New Roman"/>
          <w:b/>
          <w:sz w:val="18"/>
          <w:szCs w:val="18"/>
        </w:rPr>
      </w:pPr>
      <w:r>
        <w:rPr>
          <w:rFonts w:ascii="Times New Roman" w:hAnsi="Times New Roman" w:cs="Times New Roman"/>
          <w:b/>
          <w:sz w:val="18"/>
          <w:szCs w:val="18"/>
        </w:rPr>
        <w:t>11</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5F2FD5" w:rsidP="00394385">
      <w:pPr>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5F2FD5" w:rsidP="009C5F55">
      <w:pPr>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5F2FD5" w:rsidP="009C5F55">
      <w:pPr>
        <w:spacing w:after="0"/>
        <w:ind w:firstLine="567"/>
        <w:contextualSpacing/>
        <w:jc w:val="both"/>
        <w:rPr>
          <w:rFonts w:ascii="Times New Roman" w:hAnsi="Times New Roman" w:cs="Times New Roman"/>
          <w:sz w:val="18"/>
          <w:szCs w:val="18"/>
        </w:rPr>
      </w:pPr>
      <w:r>
        <w:rPr>
          <w:rFonts w:ascii="Times New Roman" w:hAnsi="Times New Roman" w:cs="Times New Roman"/>
          <w:sz w:val="18"/>
          <w:szCs w:val="18"/>
        </w:rPr>
        <w:t>11.</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5F2FD5" w:rsidP="009C5F55">
      <w:pPr>
        <w:spacing w:after="0"/>
        <w:ind w:firstLine="567"/>
        <w:jc w:val="both"/>
        <w:rPr>
          <w:rFonts w:ascii="Times New Roman" w:hAnsi="Times New Roman" w:cs="Times New Roman"/>
          <w:sz w:val="18"/>
          <w:szCs w:val="18"/>
        </w:rPr>
      </w:pPr>
      <w:r>
        <w:rPr>
          <w:rFonts w:ascii="Times New Roman" w:hAnsi="Times New Roman" w:cs="Times New Roman"/>
          <w:sz w:val="18"/>
          <w:szCs w:val="18"/>
        </w:rPr>
        <w:t xml:space="preserve">11.4. </w:t>
      </w:r>
      <w:r w:rsidR="00394385" w:rsidRPr="000C1601">
        <w:rPr>
          <w:rFonts w:ascii="Times New Roman" w:hAnsi="Times New Roman" w:cs="Times New Roman"/>
          <w:sz w:val="18"/>
          <w:szCs w:val="18"/>
        </w:rPr>
        <w:t xml:space="preserve">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5F2FD5" w:rsidP="0097276D">
      <w:pPr>
        <w:spacing w:after="0"/>
        <w:ind w:firstLine="567"/>
        <w:jc w:val="both"/>
        <w:rPr>
          <w:rFonts w:ascii="Times New Roman" w:hAnsi="Times New Roman" w:cs="Times New Roman"/>
          <w:sz w:val="18"/>
          <w:szCs w:val="18"/>
        </w:rPr>
      </w:pPr>
      <w:r>
        <w:rPr>
          <w:rFonts w:ascii="Times New Roman" w:hAnsi="Times New Roman" w:cs="Times New Roman"/>
          <w:sz w:val="18"/>
          <w:szCs w:val="18"/>
        </w:rPr>
        <w:t>11.5.</w:t>
      </w:r>
      <w:r w:rsidR="00394385" w:rsidRPr="000C1601">
        <w:rPr>
          <w:rFonts w:ascii="Times New Roman" w:hAnsi="Times New Roman" w:cs="Times New Roman"/>
          <w:sz w:val="18"/>
          <w:szCs w:val="18"/>
        </w:rPr>
        <w:t xml:space="preserve">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rsidR="003959D7" w:rsidRPr="003959D7" w:rsidRDefault="003959D7" w:rsidP="003959D7">
      <w:pPr>
        <w:pStyle w:val="a3"/>
        <w:numPr>
          <w:ilvl w:val="1"/>
          <w:numId w:val="20"/>
        </w:numPr>
        <w:ind w:left="567"/>
        <w:jc w:val="both"/>
        <w:rPr>
          <w:rFonts w:ascii="Times New Roman" w:hAnsi="Times New Roman" w:cs="Times New Roman"/>
        </w:rPr>
      </w:pPr>
      <w:r w:rsidRPr="003959D7">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59D7" w:rsidRPr="007344A9" w:rsidRDefault="003959D7" w:rsidP="003959D7">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59D7" w:rsidRPr="007344A9" w:rsidRDefault="003959D7" w:rsidP="003959D7">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59D7" w:rsidRPr="000C1601" w:rsidRDefault="003959D7" w:rsidP="0097276D">
      <w:pPr>
        <w:spacing w:after="0"/>
        <w:ind w:firstLine="567"/>
        <w:jc w:val="both"/>
        <w:rPr>
          <w:rFonts w:ascii="Times New Roman" w:hAnsi="Times New Roman" w:cs="Times New Roman"/>
          <w:sz w:val="18"/>
          <w:szCs w:val="18"/>
        </w:rPr>
      </w:pPr>
    </w:p>
    <w:p w:rsidR="00394385" w:rsidRPr="000C1601" w:rsidRDefault="00394385" w:rsidP="005F2FD5">
      <w:pPr>
        <w:pStyle w:val="a3"/>
        <w:numPr>
          <w:ilvl w:val="0"/>
          <w:numId w:val="15"/>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Pr="005F2FD5" w:rsidRDefault="005F2FD5" w:rsidP="005F2FD5">
      <w:pPr>
        <w:tabs>
          <w:tab w:val="left" w:pos="1134"/>
        </w:tabs>
        <w:ind w:firstLine="708"/>
        <w:jc w:val="both"/>
        <w:rPr>
          <w:rFonts w:ascii="Times New Roman" w:hAnsi="Times New Roman" w:cs="Times New Roman"/>
          <w:sz w:val="18"/>
          <w:szCs w:val="18"/>
        </w:rPr>
      </w:pPr>
      <w:r>
        <w:rPr>
          <w:rFonts w:ascii="Times New Roman" w:hAnsi="Times New Roman" w:cs="Times New Roman"/>
          <w:sz w:val="18"/>
          <w:szCs w:val="18"/>
        </w:rPr>
        <w:t xml:space="preserve">  12.1. </w:t>
      </w:r>
      <w:r w:rsidR="00FD1AA5" w:rsidRPr="005F2FD5">
        <w:rPr>
          <w:rFonts w:ascii="Times New Roman" w:hAnsi="Times New Roman" w:cs="Times New Roman"/>
          <w:sz w:val="18"/>
          <w:szCs w:val="18"/>
        </w:rPr>
        <w:t xml:space="preserve">Настоящий Договор вступает в силу со дня его подписания </w:t>
      </w:r>
      <w:r w:rsidR="00CA087C" w:rsidRPr="005F2FD5">
        <w:rPr>
          <w:rFonts w:ascii="Times New Roman" w:hAnsi="Times New Roman" w:cs="Times New Roman"/>
          <w:sz w:val="18"/>
          <w:szCs w:val="18"/>
        </w:rPr>
        <w:t>и действует</w:t>
      </w:r>
      <w:r w:rsidR="00FD1AA5" w:rsidRPr="005F2FD5">
        <w:rPr>
          <w:rFonts w:ascii="Times New Roman" w:hAnsi="Times New Roman" w:cs="Times New Roman"/>
          <w:sz w:val="18"/>
          <w:szCs w:val="18"/>
        </w:rPr>
        <w:t xml:space="preserve"> до </w:t>
      </w:r>
      <w:r w:rsidR="001156C9" w:rsidRPr="005F2FD5">
        <w:rPr>
          <w:rFonts w:ascii="Times New Roman" w:hAnsi="Times New Roman" w:cs="Times New Roman"/>
          <w:sz w:val="18"/>
          <w:szCs w:val="18"/>
        </w:rPr>
        <w:t>29.12.2023</w:t>
      </w:r>
      <w:r w:rsidR="006B48D7" w:rsidRPr="005F2FD5">
        <w:rPr>
          <w:rFonts w:ascii="Times New Roman" w:hAnsi="Times New Roman" w:cs="Times New Roman"/>
          <w:sz w:val="18"/>
          <w:szCs w:val="18"/>
        </w:rPr>
        <w:t>г.</w:t>
      </w:r>
      <w:r w:rsidRPr="005F2FD5">
        <w:rPr>
          <w:rFonts w:ascii="Times New Roman" w:hAnsi="Times New Roman" w:cs="Times New Roman"/>
          <w:sz w:val="18"/>
          <w:szCs w:val="18"/>
        </w:rPr>
        <w:t xml:space="preserve">, а в части неисполненных </w:t>
      </w:r>
      <w:r w:rsidR="006B48D7" w:rsidRPr="005F2FD5">
        <w:rPr>
          <w:rFonts w:ascii="Times New Roman" w:hAnsi="Times New Roman" w:cs="Times New Roman"/>
          <w:sz w:val="18"/>
          <w:szCs w:val="18"/>
        </w:rPr>
        <w:t xml:space="preserve">обязательств до полного их </w:t>
      </w:r>
      <w:r w:rsidR="008533DE" w:rsidRPr="005F2FD5">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5F2FD5" w:rsidP="005F2FD5">
      <w:pPr>
        <w:ind w:firstLine="142"/>
        <w:jc w:val="both"/>
        <w:rPr>
          <w:rFonts w:ascii="Times New Roman" w:hAnsi="Times New Roman" w:cs="Times New Roman"/>
          <w:sz w:val="18"/>
          <w:szCs w:val="18"/>
        </w:rPr>
      </w:pPr>
      <w:r>
        <w:rPr>
          <w:rFonts w:ascii="Times New Roman" w:hAnsi="Times New Roman" w:cs="Times New Roman"/>
          <w:sz w:val="18"/>
          <w:szCs w:val="18"/>
        </w:rPr>
        <w:t xml:space="preserve">               12.</w:t>
      </w:r>
      <w:r w:rsidR="00001B2A" w:rsidRPr="00D85E17">
        <w:rPr>
          <w:rFonts w:ascii="Times New Roman" w:hAnsi="Times New Roman" w:cs="Times New Roman"/>
          <w:sz w:val="18"/>
          <w:szCs w:val="18"/>
        </w:rPr>
        <w:t xml:space="preserve">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CB069B">
        <w:rPr>
          <w:rFonts w:ascii="Times New Roman" w:hAnsi="Times New Roman" w:cs="Times New Roman"/>
          <w:sz w:val="18"/>
          <w:szCs w:val="18"/>
        </w:rPr>
        <w:t>13.3</w:t>
      </w:r>
      <w:r w:rsidR="00252532" w:rsidRPr="00D85E17">
        <w:rPr>
          <w:rFonts w:ascii="Times New Roman" w:hAnsi="Times New Roman" w:cs="Times New Roman"/>
          <w:sz w:val="18"/>
          <w:szCs w:val="18"/>
        </w:rPr>
        <w:t xml:space="preserve">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 xml:space="preserve">3. </w:t>
      </w:r>
      <w:r w:rsidR="009C5F55" w:rsidRPr="000C1601">
        <w:rPr>
          <w:rFonts w:ascii="Times New Roman" w:hAnsi="Times New Roman" w:cs="Times New Roman"/>
          <w:sz w:val="18"/>
          <w:szCs w:val="18"/>
        </w:rPr>
        <w:t xml:space="preserve">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12.4</w:t>
      </w:r>
      <w:r w:rsidR="009C5F55" w:rsidRPr="000C1601">
        <w:rPr>
          <w:rFonts w:ascii="Times New Roman" w:hAnsi="Times New Roman" w:cs="Times New Roman"/>
          <w:sz w:val="18"/>
          <w:szCs w:val="18"/>
        </w:rPr>
        <w:t>. непредвиденное изменение потребности в Товаре,</w:t>
      </w:r>
      <w:r w:rsidR="009C5F55" w:rsidRPr="000C1601">
        <w:rPr>
          <w:sz w:val="18"/>
          <w:szCs w:val="18"/>
        </w:rPr>
        <w:t xml:space="preserve"> в</w:t>
      </w:r>
      <w:r w:rsidR="009C5F55"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w:t>
      </w:r>
      <w:proofErr w:type="gramStart"/>
      <w:r w:rsidR="009C5F55" w:rsidRPr="000C1601">
        <w:rPr>
          <w:rFonts w:ascii="Times New Roman" w:hAnsi="Times New Roman" w:cs="Times New Roman"/>
          <w:sz w:val="18"/>
          <w:szCs w:val="18"/>
        </w:rPr>
        <w:t>с  заказчиком</w:t>
      </w:r>
      <w:proofErr w:type="gramEnd"/>
      <w:r w:rsidR="009C5F55" w:rsidRPr="000C1601">
        <w:rPr>
          <w:rFonts w:ascii="Times New Roman" w:hAnsi="Times New Roman" w:cs="Times New Roman"/>
          <w:sz w:val="18"/>
          <w:szCs w:val="18"/>
        </w:rPr>
        <w:t xml:space="preserve">, во исполнение которого заключен настоящий договор;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12.5.</w:t>
      </w:r>
      <w:r w:rsidR="009C5F55" w:rsidRPr="000C1601">
        <w:rPr>
          <w:rFonts w:ascii="Times New Roman" w:hAnsi="Times New Roman" w:cs="Times New Roman"/>
          <w:sz w:val="18"/>
          <w:szCs w:val="18"/>
        </w:rPr>
        <w:t xml:space="preserve"> необходимость исполнения предписания контролирующих органов и (или) вступившего в законную силу судебного акта;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6.</w:t>
      </w:r>
      <w:r w:rsidR="009C5F55" w:rsidRPr="000C1601">
        <w:rPr>
          <w:rFonts w:ascii="Times New Roman" w:hAnsi="Times New Roman" w:cs="Times New Roman"/>
          <w:sz w:val="18"/>
          <w:szCs w:val="18"/>
        </w:rPr>
        <w:t xml:space="preserve">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7.</w:t>
      </w:r>
      <w:r w:rsidR="009C5F55" w:rsidRPr="000C1601">
        <w:rPr>
          <w:rFonts w:ascii="Times New Roman" w:hAnsi="Times New Roman" w:cs="Times New Roman"/>
          <w:sz w:val="18"/>
          <w:szCs w:val="18"/>
        </w:rPr>
        <w:t xml:space="preserve">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8.</w:t>
      </w:r>
      <w:r w:rsidR="009C5F55" w:rsidRPr="000C1601">
        <w:rPr>
          <w:rFonts w:ascii="Times New Roman" w:hAnsi="Times New Roman" w:cs="Times New Roman"/>
          <w:sz w:val="18"/>
          <w:szCs w:val="18"/>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5F2FD5" w:rsidP="009C5F55">
      <w:pPr>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9C5F55" w:rsidRPr="000C1601">
        <w:rPr>
          <w:rFonts w:ascii="Times New Roman" w:hAnsi="Times New Roman" w:cs="Times New Roman"/>
          <w:sz w:val="18"/>
          <w:szCs w:val="18"/>
        </w:rPr>
        <w:t>.</w:t>
      </w:r>
      <w:r>
        <w:rPr>
          <w:rFonts w:ascii="Times New Roman" w:hAnsi="Times New Roman" w:cs="Times New Roman"/>
          <w:sz w:val="18"/>
          <w:szCs w:val="18"/>
        </w:rPr>
        <w:t>9.</w:t>
      </w:r>
      <w:r w:rsidR="009C5F55" w:rsidRPr="000C1601">
        <w:rPr>
          <w:rFonts w:ascii="Times New Roman" w:hAnsi="Times New Roman" w:cs="Times New Roman"/>
          <w:sz w:val="18"/>
          <w:szCs w:val="18"/>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5F2FD5" w:rsidP="00394385">
      <w:pPr>
        <w:keepLines/>
        <w:spacing w:after="0"/>
        <w:ind w:firstLine="708"/>
        <w:contextualSpacing/>
        <w:jc w:val="both"/>
        <w:rPr>
          <w:rFonts w:ascii="Times New Roman" w:hAnsi="Times New Roman" w:cs="Times New Roman"/>
          <w:sz w:val="18"/>
          <w:szCs w:val="18"/>
        </w:rPr>
      </w:pPr>
      <w:r>
        <w:rPr>
          <w:rFonts w:ascii="Times New Roman" w:hAnsi="Times New Roman" w:cs="Times New Roman"/>
          <w:sz w:val="18"/>
          <w:szCs w:val="18"/>
        </w:rPr>
        <w:t>12</w:t>
      </w:r>
      <w:r w:rsidR="00001B2A" w:rsidRPr="000C1601">
        <w:rPr>
          <w:rFonts w:ascii="Times New Roman" w:hAnsi="Times New Roman" w:cs="Times New Roman"/>
          <w:sz w:val="18"/>
          <w:szCs w:val="18"/>
        </w:rPr>
        <w:t>.</w:t>
      </w:r>
      <w:r>
        <w:rPr>
          <w:rFonts w:ascii="Times New Roman" w:hAnsi="Times New Roman" w:cs="Times New Roman"/>
          <w:sz w:val="18"/>
          <w:szCs w:val="18"/>
        </w:rPr>
        <w:t>10.</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5F2FD5" w:rsidP="00001B2A">
      <w:pPr>
        <w:keepLines/>
        <w:spacing w:after="0"/>
        <w:ind w:firstLine="709"/>
        <w:jc w:val="both"/>
        <w:rPr>
          <w:rFonts w:ascii="Times New Roman" w:hAnsi="Times New Roman" w:cs="Times New Roman"/>
          <w:sz w:val="18"/>
          <w:szCs w:val="18"/>
        </w:rPr>
      </w:pPr>
      <w:r>
        <w:rPr>
          <w:rFonts w:ascii="Times New Roman" w:hAnsi="Times New Roman" w:cs="Times New Roman"/>
          <w:sz w:val="18"/>
          <w:szCs w:val="18"/>
        </w:rPr>
        <w:t>12.11.</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5F2FD5" w:rsidP="00001B2A">
      <w:pPr>
        <w:keepLines/>
        <w:spacing w:after="0"/>
        <w:ind w:firstLine="709"/>
        <w:jc w:val="both"/>
        <w:rPr>
          <w:rFonts w:ascii="Times New Roman" w:hAnsi="Times New Roman" w:cs="Times New Roman"/>
          <w:sz w:val="18"/>
          <w:szCs w:val="18"/>
        </w:rPr>
      </w:pPr>
      <w:r>
        <w:rPr>
          <w:rFonts w:ascii="Times New Roman" w:hAnsi="Times New Roman" w:cs="Times New Roman"/>
          <w:sz w:val="18"/>
          <w:szCs w:val="18"/>
        </w:rPr>
        <w:t>12</w:t>
      </w:r>
      <w:r w:rsidR="00001B2A" w:rsidRPr="000C1601">
        <w:rPr>
          <w:rFonts w:ascii="Times New Roman" w:hAnsi="Times New Roman" w:cs="Times New Roman"/>
          <w:sz w:val="18"/>
          <w:szCs w:val="18"/>
        </w:rPr>
        <w:t>.</w:t>
      </w:r>
      <w:r>
        <w:rPr>
          <w:rFonts w:ascii="Times New Roman" w:hAnsi="Times New Roman" w:cs="Times New Roman"/>
          <w:sz w:val="18"/>
          <w:szCs w:val="18"/>
        </w:rPr>
        <w:t>12.</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Договор считается расторгнутым через 10 (десять) рабочих дней с даты надлежащего уведомления.</w:t>
      </w:r>
    </w:p>
    <w:p w:rsidR="00394385" w:rsidRPr="000C1601" w:rsidRDefault="005F2FD5" w:rsidP="007344A9">
      <w:pPr>
        <w:ind w:firstLine="709"/>
        <w:contextualSpacing/>
        <w:jc w:val="both"/>
        <w:rPr>
          <w:rFonts w:ascii="Times New Roman" w:hAnsi="Times New Roman" w:cs="Times New Roman"/>
          <w:sz w:val="18"/>
          <w:szCs w:val="18"/>
        </w:rPr>
      </w:pPr>
      <w:r>
        <w:rPr>
          <w:rFonts w:ascii="Times New Roman" w:hAnsi="Times New Roman" w:cs="Times New Roman"/>
          <w:sz w:val="18"/>
          <w:szCs w:val="18"/>
        </w:rPr>
        <w:t>12.13.</w:t>
      </w:r>
      <w:r w:rsidR="00001B2A"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5F2FD5" w:rsidRDefault="00394385" w:rsidP="005F2FD5">
      <w:pPr>
        <w:pStyle w:val="a3"/>
        <w:numPr>
          <w:ilvl w:val="0"/>
          <w:numId w:val="15"/>
        </w:numPr>
        <w:jc w:val="center"/>
        <w:rPr>
          <w:rFonts w:ascii="Times New Roman" w:hAnsi="Times New Roman" w:cs="Times New Roman"/>
          <w:sz w:val="18"/>
          <w:szCs w:val="18"/>
        </w:rPr>
      </w:pPr>
      <w:r w:rsidRPr="005F2FD5">
        <w:rPr>
          <w:rFonts w:ascii="Times New Roman" w:hAnsi="Times New Roman" w:cs="Times New Roman"/>
          <w:b/>
          <w:sz w:val="18"/>
          <w:szCs w:val="18"/>
        </w:rPr>
        <w:t>Прочие условия</w:t>
      </w:r>
    </w:p>
    <w:p w:rsidR="00394385" w:rsidRPr="005F2FD5" w:rsidRDefault="00394385" w:rsidP="005F2FD5">
      <w:pPr>
        <w:pStyle w:val="a3"/>
        <w:numPr>
          <w:ilvl w:val="1"/>
          <w:numId w:val="17"/>
        </w:numPr>
        <w:jc w:val="both"/>
        <w:rPr>
          <w:rFonts w:ascii="Times New Roman" w:hAnsi="Times New Roman" w:cs="Times New Roman"/>
          <w:sz w:val="18"/>
          <w:szCs w:val="18"/>
        </w:rPr>
      </w:pPr>
      <w:r w:rsidRPr="005F2FD5">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5F2FD5" w:rsidRDefault="00394385" w:rsidP="005F2FD5">
      <w:pPr>
        <w:pStyle w:val="a3"/>
        <w:numPr>
          <w:ilvl w:val="1"/>
          <w:numId w:val="17"/>
        </w:numPr>
        <w:spacing w:after="0"/>
        <w:jc w:val="both"/>
        <w:rPr>
          <w:rFonts w:ascii="Times New Roman" w:hAnsi="Times New Roman" w:cs="Times New Roman"/>
          <w:sz w:val="18"/>
          <w:szCs w:val="18"/>
        </w:rPr>
      </w:pPr>
      <w:r w:rsidRPr="005F2FD5">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5F2FD5">
      <w:pPr>
        <w:pStyle w:val="a3"/>
        <w:numPr>
          <w:ilvl w:val="2"/>
          <w:numId w:val="1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5F2FD5">
      <w:pPr>
        <w:pStyle w:val="a3"/>
        <w:numPr>
          <w:ilvl w:val="2"/>
          <w:numId w:val="1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5F2FD5">
      <w:pPr>
        <w:numPr>
          <w:ilvl w:val="1"/>
          <w:numId w:val="1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5F2FD5">
      <w:pPr>
        <w:numPr>
          <w:ilvl w:val="1"/>
          <w:numId w:val="1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5F2FD5" w:rsidP="0097276D">
      <w:pPr>
        <w:contextualSpacing/>
        <w:jc w:val="center"/>
        <w:rPr>
          <w:rFonts w:ascii="Times New Roman" w:hAnsi="Times New Roman" w:cs="Times New Roman"/>
          <w:b/>
          <w:sz w:val="18"/>
          <w:szCs w:val="18"/>
        </w:rPr>
      </w:pPr>
      <w:r>
        <w:rPr>
          <w:rFonts w:ascii="Times New Roman" w:hAnsi="Times New Roman" w:cs="Times New Roman"/>
          <w:b/>
          <w:sz w:val="18"/>
          <w:szCs w:val="18"/>
        </w:rPr>
        <w:t>14</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EC19B1" w:rsidRPr="000C1601" w:rsidRDefault="00EC19B1" w:rsidP="001D1174">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E0907">
              <w:rPr>
                <w:rFonts w:ascii="Times New Roman" w:hAnsi="Times New Roman" w:cs="Times New Roman"/>
                <w:sz w:val="18"/>
                <w:szCs w:val="18"/>
              </w:rPr>
              <w:t>40702810900000068622</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 xml:space="preserve">Банк ГПБ (АО), г. Москва </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к/с 30101810200000000823 БИК 044525823</w:t>
            </w:r>
          </w:p>
          <w:p w:rsidR="00394385" w:rsidRPr="000C1601" w:rsidRDefault="00C007C3" w:rsidP="00A254C0">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__________</w:t>
            </w:r>
            <w:r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97082E" w:rsidP="002A0C50">
            <w:pPr>
              <w:rPr>
                <w:rFonts w:ascii="Times New Roman" w:hAnsi="Times New Roman" w:cs="Times New Roman"/>
                <w:sz w:val="18"/>
                <w:szCs w:val="18"/>
              </w:rPr>
            </w:pPr>
            <w:r>
              <w:rPr>
                <w:rFonts w:ascii="Times New Roman" w:hAnsi="Times New Roman" w:cs="Times New Roman"/>
                <w:sz w:val="18"/>
                <w:szCs w:val="18"/>
              </w:rPr>
              <w:t>______________________/Пестова Е.</w:t>
            </w:r>
            <w:r w:rsidR="0030074B">
              <w:rPr>
                <w:rFonts w:ascii="Times New Roman" w:hAnsi="Times New Roman" w:cs="Times New Roman"/>
                <w:sz w:val="18"/>
                <w:szCs w:val="18"/>
              </w:rPr>
              <w:t>В.</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1355DD" w:rsidRDefault="001355DD"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rsidR="00245D77" w:rsidRDefault="00245D77" w:rsidP="0097276D">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C6642A" w:rsidRPr="000C1601" w:rsidRDefault="00C6642A" w:rsidP="0097276D">
      <w:pPr>
        <w:ind w:hanging="567"/>
        <w:jc w:val="right"/>
        <w:rPr>
          <w:rFonts w:ascii="Times New Roman" w:hAnsi="Times New Roman" w:cs="Times New Roman"/>
          <w:sz w:val="18"/>
          <w:szCs w:val="18"/>
        </w:rPr>
      </w:pPr>
    </w:p>
    <w:p w:rsidR="00026486" w:rsidRPr="000C1601"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tbl>
      <w:tblPr>
        <w:tblStyle w:val="a5"/>
        <w:tblW w:w="8789" w:type="dxa"/>
        <w:tblInd w:w="-459" w:type="dxa"/>
        <w:tblLayout w:type="fixed"/>
        <w:tblLook w:val="04A0" w:firstRow="1" w:lastRow="0" w:firstColumn="1" w:lastColumn="0" w:noHBand="0" w:noVBand="1"/>
      </w:tblPr>
      <w:tblGrid>
        <w:gridCol w:w="709"/>
        <w:gridCol w:w="1671"/>
        <w:gridCol w:w="1140"/>
        <w:gridCol w:w="1417"/>
        <w:gridCol w:w="1275"/>
        <w:gridCol w:w="1301"/>
        <w:gridCol w:w="1276"/>
      </w:tblGrid>
      <w:tr w:rsidR="00C6642A" w:rsidRPr="000C1601" w:rsidTr="00BF7BF1">
        <w:trPr>
          <w:trHeight w:val="826"/>
        </w:trPr>
        <w:tc>
          <w:tcPr>
            <w:tcW w:w="709" w:type="dxa"/>
          </w:tcPr>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1671" w:type="dxa"/>
          </w:tcPr>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140" w:type="dxa"/>
          </w:tcPr>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417" w:type="dxa"/>
          </w:tcPr>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Требования к таре и упаковке</w:t>
            </w:r>
          </w:p>
        </w:tc>
        <w:tc>
          <w:tcPr>
            <w:tcW w:w="1275" w:type="dxa"/>
          </w:tcPr>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 xml:space="preserve">Цена за ед., руб., в </w:t>
            </w:r>
            <w:proofErr w:type="spellStart"/>
            <w:r w:rsidRPr="000C1601">
              <w:rPr>
                <w:rFonts w:ascii="Times New Roman" w:hAnsi="Times New Roman" w:cs="Times New Roman"/>
                <w:sz w:val="18"/>
                <w:szCs w:val="18"/>
              </w:rPr>
              <w:t>т.ч</w:t>
            </w:r>
            <w:proofErr w:type="spellEnd"/>
            <w:r w:rsidRPr="000C1601">
              <w:rPr>
                <w:rFonts w:ascii="Times New Roman" w:hAnsi="Times New Roman" w:cs="Times New Roman"/>
                <w:sz w:val="18"/>
                <w:szCs w:val="18"/>
              </w:rPr>
              <w:t xml:space="preserve">. НДС (%) </w:t>
            </w:r>
          </w:p>
        </w:tc>
        <w:tc>
          <w:tcPr>
            <w:tcW w:w="1301" w:type="dxa"/>
          </w:tcPr>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 xml:space="preserve">Общая цена, руб., </w:t>
            </w:r>
          </w:p>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 xml:space="preserve">в </w:t>
            </w:r>
            <w:proofErr w:type="spellStart"/>
            <w:r w:rsidRPr="000C1601">
              <w:rPr>
                <w:rFonts w:ascii="Times New Roman" w:hAnsi="Times New Roman" w:cs="Times New Roman"/>
                <w:sz w:val="18"/>
                <w:szCs w:val="18"/>
              </w:rPr>
              <w:t>т.ч</w:t>
            </w:r>
            <w:proofErr w:type="spellEnd"/>
            <w:r w:rsidRPr="000C1601">
              <w:rPr>
                <w:rFonts w:ascii="Times New Roman" w:hAnsi="Times New Roman" w:cs="Times New Roman"/>
                <w:sz w:val="18"/>
                <w:szCs w:val="18"/>
              </w:rPr>
              <w:t>. НДС (%)</w:t>
            </w:r>
          </w:p>
        </w:tc>
        <w:tc>
          <w:tcPr>
            <w:tcW w:w="1276" w:type="dxa"/>
          </w:tcPr>
          <w:p w:rsidR="00C6642A" w:rsidRPr="000C1601" w:rsidRDefault="00C6642A"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C6642A" w:rsidRPr="000C1601" w:rsidTr="00BF7BF1">
        <w:trPr>
          <w:trHeight w:val="2416"/>
        </w:trPr>
        <w:tc>
          <w:tcPr>
            <w:tcW w:w="709" w:type="dxa"/>
          </w:tcPr>
          <w:p w:rsidR="00C6642A" w:rsidRPr="000C1601" w:rsidRDefault="00C6642A" w:rsidP="002A0C50">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1671" w:type="dxa"/>
          </w:tcPr>
          <w:p w:rsidR="001D1174" w:rsidRDefault="002E0907" w:rsidP="00DC49AB">
            <w:pPr>
              <w:rPr>
                <w:rFonts w:ascii="Times New Roman" w:hAnsi="Times New Roman" w:cs="Times New Roman"/>
                <w:sz w:val="18"/>
                <w:szCs w:val="18"/>
              </w:rPr>
            </w:pPr>
            <w:r>
              <w:rPr>
                <w:rFonts w:ascii="Times New Roman" w:hAnsi="Times New Roman" w:cs="Times New Roman"/>
                <w:sz w:val="18"/>
                <w:szCs w:val="18"/>
              </w:rPr>
              <w:t>Блок питания и сигнализации____________________</w:t>
            </w:r>
          </w:p>
          <w:p w:rsidR="004D60E1" w:rsidRDefault="004D60E1" w:rsidP="00DC49AB">
            <w:pPr>
              <w:rPr>
                <w:rFonts w:ascii="Times New Roman" w:hAnsi="Times New Roman" w:cs="Times New Roman"/>
                <w:sz w:val="18"/>
                <w:szCs w:val="18"/>
              </w:rPr>
            </w:pPr>
          </w:p>
          <w:p w:rsidR="00964A9E" w:rsidRPr="00BF7BF1" w:rsidRDefault="001156C9" w:rsidP="00DC49AB">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tc>
        <w:tc>
          <w:tcPr>
            <w:tcW w:w="1140" w:type="dxa"/>
          </w:tcPr>
          <w:p w:rsidR="00C6642A" w:rsidRPr="000C1601" w:rsidRDefault="002E0907" w:rsidP="002A0C50">
            <w:pPr>
              <w:ind w:firstLine="171"/>
              <w:rPr>
                <w:rFonts w:ascii="Times New Roman" w:hAnsi="Times New Roman" w:cs="Times New Roman"/>
                <w:sz w:val="18"/>
                <w:szCs w:val="18"/>
              </w:rPr>
            </w:pPr>
            <w:r>
              <w:rPr>
                <w:rFonts w:ascii="Times New Roman" w:hAnsi="Times New Roman" w:cs="Times New Roman"/>
                <w:sz w:val="18"/>
                <w:szCs w:val="18"/>
              </w:rPr>
              <w:t>2 шт.</w:t>
            </w:r>
          </w:p>
        </w:tc>
        <w:tc>
          <w:tcPr>
            <w:tcW w:w="1417" w:type="dxa"/>
          </w:tcPr>
          <w:p w:rsidR="00C6642A" w:rsidRPr="006D6150" w:rsidRDefault="00C6642A" w:rsidP="002A0C50">
            <w:pPr>
              <w:ind w:firstLine="171"/>
              <w:rPr>
                <w:rFonts w:ascii="Times New Roman" w:hAnsi="Times New Roman" w:cs="Times New Roman"/>
                <w:sz w:val="14"/>
                <w:szCs w:val="14"/>
              </w:rPr>
            </w:pPr>
            <w:r w:rsidRPr="006D6150">
              <w:rPr>
                <w:rFonts w:ascii="Times New Roman" w:hAnsi="Times New Roman" w:cs="Times New Roman"/>
                <w:sz w:val="14"/>
                <w:szCs w:val="14"/>
              </w:rPr>
              <w:t>Товар должен быть упакован в разовую тару, обеспечивающую сохранность от повреждений и загрязнений. Упаковка сохранять товар от порчи во время транспортировки, перегрузки и хранения в необходимых условиях</w:t>
            </w:r>
          </w:p>
        </w:tc>
        <w:tc>
          <w:tcPr>
            <w:tcW w:w="1275" w:type="dxa"/>
          </w:tcPr>
          <w:p w:rsidR="00C6642A" w:rsidRPr="00964189" w:rsidRDefault="00C6642A" w:rsidP="00C26750">
            <w:pPr>
              <w:rPr>
                <w:rFonts w:ascii="Times New Roman" w:hAnsi="Times New Roman" w:cs="Times New Roman"/>
                <w:color w:val="000000"/>
                <w:sz w:val="18"/>
                <w:szCs w:val="18"/>
              </w:rPr>
            </w:pPr>
          </w:p>
        </w:tc>
        <w:tc>
          <w:tcPr>
            <w:tcW w:w="1301" w:type="dxa"/>
          </w:tcPr>
          <w:p w:rsidR="00C6642A" w:rsidRPr="00964189" w:rsidRDefault="00C6642A" w:rsidP="00964189">
            <w:pPr>
              <w:jc w:val="center"/>
              <w:rPr>
                <w:rFonts w:ascii="Times New Roman" w:hAnsi="Times New Roman" w:cs="Times New Roman"/>
                <w:color w:val="000000"/>
                <w:sz w:val="18"/>
                <w:szCs w:val="18"/>
              </w:rPr>
            </w:pPr>
          </w:p>
        </w:tc>
        <w:tc>
          <w:tcPr>
            <w:tcW w:w="1276" w:type="dxa"/>
          </w:tcPr>
          <w:p w:rsidR="00C6642A" w:rsidRPr="000C1601" w:rsidRDefault="0097082E" w:rsidP="00964189">
            <w:pPr>
              <w:ind w:firstLine="171"/>
              <w:jc w:val="center"/>
              <w:rPr>
                <w:rFonts w:ascii="Times New Roman" w:hAnsi="Times New Roman" w:cs="Times New Roman"/>
                <w:sz w:val="18"/>
                <w:szCs w:val="18"/>
              </w:rPr>
            </w:pPr>
            <w:r>
              <w:rPr>
                <w:rFonts w:ascii="Times New Roman" w:hAnsi="Times New Roman" w:cs="Times New Roman"/>
                <w:sz w:val="18"/>
                <w:szCs w:val="18"/>
              </w:rPr>
              <w:t>9</w:t>
            </w:r>
            <w:r w:rsidR="002E0907">
              <w:rPr>
                <w:rFonts w:ascii="Times New Roman" w:hAnsi="Times New Roman" w:cs="Times New Roman"/>
                <w:sz w:val="18"/>
                <w:szCs w:val="18"/>
              </w:rPr>
              <w:t>0</w:t>
            </w:r>
            <w:r w:rsidR="00AF3A36">
              <w:rPr>
                <w:rFonts w:ascii="Times New Roman" w:hAnsi="Times New Roman" w:cs="Times New Roman"/>
                <w:sz w:val="18"/>
                <w:szCs w:val="18"/>
              </w:rPr>
              <w:t xml:space="preserve"> дней</w:t>
            </w:r>
          </w:p>
        </w:tc>
      </w:tr>
      <w:tr w:rsidR="00BF7BF1" w:rsidRPr="000C1601" w:rsidTr="00BF7BF1">
        <w:trPr>
          <w:trHeight w:val="357"/>
        </w:trPr>
        <w:tc>
          <w:tcPr>
            <w:tcW w:w="709" w:type="dxa"/>
          </w:tcPr>
          <w:p w:rsidR="00BF7BF1" w:rsidRPr="000C1601" w:rsidRDefault="00BF7BF1" w:rsidP="002A0C50">
            <w:pPr>
              <w:ind w:left="-119" w:right="34" w:firstLine="137"/>
              <w:rPr>
                <w:rFonts w:ascii="Times New Roman" w:hAnsi="Times New Roman" w:cs="Times New Roman"/>
                <w:sz w:val="18"/>
                <w:szCs w:val="18"/>
              </w:rPr>
            </w:pPr>
          </w:p>
        </w:tc>
        <w:tc>
          <w:tcPr>
            <w:tcW w:w="1671" w:type="dxa"/>
          </w:tcPr>
          <w:p w:rsidR="00BF7BF1" w:rsidRPr="00BF7BF1" w:rsidRDefault="00BF7BF1"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140" w:type="dxa"/>
          </w:tcPr>
          <w:p w:rsidR="00BF7BF1" w:rsidRDefault="002E0907" w:rsidP="002A0C50">
            <w:pPr>
              <w:ind w:firstLine="171"/>
              <w:rPr>
                <w:rFonts w:ascii="Times New Roman" w:hAnsi="Times New Roman" w:cs="Times New Roman"/>
                <w:sz w:val="18"/>
                <w:szCs w:val="18"/>
              </w:rPr>
            </w:pPr>
            <w:r>
              <w:rPr>
                <w:rFonts w:ascii="Times New Roman" w:hAnsi="Times New Roman" w:cs="Times New Roman"/>
                <w:sz w:val="18"/>
                <w:szCs w:val="18"/>
              </w:rPr>
              <w:t>2</w:t>
            </w:r>
          </w:p>
        </w:tc>
        <w:tc>
          <w:tcPr>
            <w:tcW w:w="1417" w:type="dxa"/>
          </w:tcPr>
          <w:p w:rsidR="00BF7BF1" w:rsidRPr="006D6150" w:rsidRDefault="00BF7BF1" w:rsidP="002A0C50">
            <w:pPr>
              <w:ind w:firstLine="171"/>
              <w:rPr>
                <w:rFonts w:ascii="Times New Roman" w:hAnsi="Times New Roman" w:cs="Times New Roman"/>
                <w:sz w:val="14"/>
                <w:szCs w:val="14"/>
              </w:rPr>
            </w:pPr>
          </w:p>
        </w:tc>
        <w:tc>
          <w:tcPr>
            <w:tcW w:w="1275" w:type="dxa"/>
          </w:tcPr>
          <w:p w:rsidR="00BF7BF1" w:rsidRDefault="00BF7BF1" w:rsidP="00964189">
            <w:pPr>
              <w:jc w:val="center"/>
              <w:rPr>
                <w:rFonts w:ascii="Times New Roman" w:hAnsi="Times New Roman" w:cs="Times New Roman"/>
                <w:color w:val="000000"/>
                <w:sz w:val="18"/>
                <w:szCs w:val="18"/>
              </w:rPr>
            </w:pPr>
          </w:p>
        </w:tc>
        <w:tc>
          <w:tcPr>
            <w:tcW w:w="1301" w:type="dxa"/>
          </w:tcPr>
          <w:p w:rsidR="00BF7BF1" w:rsidRDefault="00BF7BF1" w:rsidP="00964189">
            <w:pPr>
              <w:jc w:val="center"/>
              <w:rPr>
                <w:rFonts w:ascii="Times New Roman" w:hAnsi="Times New Roman" w:cs="Times New Roman"/>
                <w:color w:val="000000"/>
                <w:sz w:val="18"/>
                <w:szCs w:val="18"/>
              </w:rPr>
            </w:pPr>
          </w:p>
        </w:tc>
        <w:tc>
          <w:tcPr>
            <w:tcW w:w="1276" w:type="dxa"/>
          </w:tcPr>
          <w:p w:rsidR="00BF7BF1" w:rsidRDefault="00BF7BF1"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2A0C50">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245D77" w:rsidRPr="000C1601" w:rsidTr="002A0C50">
        <w:trPr>
          <w:jc w:val="center"/>
        </w:trPr>
        <w:tc>
          <w:tcPr>
            <w:tcW w:w="4672" w:type="dxa"/>
          </w:tcPr>
          <w:p w:rsidR="00245D77" w:rsidRPr="000C1601" w:rsidRDefault="00245D77" w:rsidP="002A0C50">
            <w:pPr>
              <w:rPr>
                <w:rFonts w:ascii="Times New Roman" w:hAnsi="Times New Roman" w:cs="Times New Roman"/>
                <w:sz w:val="18"/>
                <w:szCs w:val="18"/>
              </w:rPr>
            </w:pPr>
          </w:p>
          <w:p w:rsidR="00245D77" w:rsidRPr="000C1601" w:rsidRDefault="00245D77" w:rsidP="002A0C50">
            <w:pPr>
              <w:rPr>
                <w:rFonts w:ascii="Times New Roman" w:hAnsi="Times New Roman" w:cs="Times New Roman"/>
                <w:sz w:val="18"/>
                <w:szCs w:val="18"/>
              </w:rPr>
            </w:pPr>
          </w:p>
        </w:tc>
        <w:tc>
          <w:tcPr>
            <w:tcW w:w="4673" w:type="dxa"/>
          </w:tcPr>
          <w:p w:rsidR="00A254C0" w:rsidRPr="000C1601" w:rsidRDefault="00026486"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р/с 40702810900000068622</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Банк ГПБ (АО), г. Москва</w:t>
            </w:r>
          </w:p>
          <w:p w:rsidR="00A254C0" w:rsidRPr="000C1601" w:rsidRDefault="002E0907" w:rsidP="00A254C0">
            <w:pPr>
              <w:tabs>
                <w:tab w:val="left" w:pos="1030"/>
                <w:tab w:val="center" w:pos="2228"/>
              </w:tabs>
              <w:rPr>
                <w:rFonts w:ascii="Times New Roman" w:hAnsi="Times New Roman" w:cs="Times New Roman"/>
                <w:sz w:val="18"/>
                <w:szCs w:val="18"/>
              </w:rPr>
            </w:pPr>
            <w:r>
              <w:rPr>
                <w:rFonts w:ascii="Times New Roman" w:hAnsi="Times New Roman" w:cs="Times New Roman"/>
                <w:sz w:val="18"/>
                <w:szCs w:val="18"/>
              </w:rPr>
              <w:t>к/с 3010181020000000068622 БИК 044525823</w:t>
            </w:r>
          </w:p>
          <w:p w:rsidR="00245D77" w:rsidRPr="000C1601" w:rsidRDefault="00A254C0" w:rsidP="00A254C0">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sidR="006D6150">
              <w:rPr>
                <w:rFonts w:ascii="Times New Roman" w:hAnsi="Times New Roman" w:cs="Times New Roman"/>
                <w:sz w:val="18"/>
                <w:szCs w:val="18"/>
              </w:rPr>
              <w:t>,</w:t>
            </w:r>
            <w:r w:rsidR="006D6150"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245D77" w:rsidRPr="000C1601" w:rsidTr="002A0C50">
        <w:trPr>
          <w:jc w:val="center"/>
        </w:trPr>
        <w:tc>
          <w:tcPr>
            <w:tcW w:w="4672" w:type="dxa"/>
          </w:tcPr>
          <w:p w:rsidR="00245D77" w:rsidRPr="000C1601" w:rsidRDefault="00245D77" w:rsidP="00026486">
            <w:pPr>
              <w:rPr>
                <w:rFonts w:ascii="Times New Roman" w:hAnsi="Times New Roman" w:cs="Times New Roman"/>
                <w:sz w:val="18"/>
                <w:szCs w:val="18"/>
              </w:rPr>
            </w:pP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__________</w:t>
            </w:r>
            <w:r w:rsidRPr="000C1601">
              <w:rPr>
                <w:rFonts w:ascii="Times New Roman" w:hAnsi="Times New Roman" w:cs="Times New Roman"/>
                <w:sz w:val="18"/>
                <w:szCs w:val="18"/>
              </w:rPr>
              <w:t>/</w:t>
            </w: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lastRenderedPageBreak/>
              <w:t>М.П.</w:t>
            </w:r>
          </w:p>
        </w:tc>
        <w:tc>
          <w:tcPr>
            <w:tcW w:w="4673" w:type="dxa"/>
          </w:tcPr>
          <w:p w:rsidR="00245D77" w:rsidRPr="000C1601" w:rsidRDefault="00245D77" w:rsidP="002A0C50">
            <w:pPr>
              <w:ind w:hanging="567"/>
              <w:rPr>
                <w:rFonts w:ascii="Times New Roman" w:hAnsi="Times New Roman" w:cs="Times New Roman"/>
                <w:sz w:val="18"/>
                <w:szCs w:val="18"/>
              </w:rPr>
            </w:pPr>
          </w:p>
          <w:p w:rsidR="00245D77" w:rsidRPr="000C1601" w:rsidRDefault="0097082E" w:rsidP="002A0C50">
            <w:pPr>
              <w:rPr>
                <w:rFonts w:ascii="Times New Roman" w:hAnsi="Times New Roman" w:cs="Times New Roman"/>
                <w:sz w:val="18"/>
                <w:szCs w:val="18"/>
              </w:rPr>
            </w:pPr>
            <w:r>
              <w:rPr>
                <w:rFonts w:ascii="Times New Roman" w:hAnsi="Times New Roman" w:cs="Times New Roman"/>
                <w:sz w:val="18"/>
                <w:szCs w:val="18"/>
              </w:rPr>
              <w:t>______________________/Пестова Е</w:t>
            </w:r>
            <w:r w:rsidR="0030074B">
              <w:rPr>
                <w:rFonts w:ascii="Times New Roman" w:hAnsi="Times New Roman" w:cs="Times New Roman"/>
                <w:sz w:val="18"/>
                <w:szCs w:val="18"/>
              </w:rPr>
              <w:t>.В.</w:t>
            </w:r>
            <w:r w:rsidR="00245D77" w:rsidRPr="000C1601">
              <w:rPr>
                <w:rFonts w:ascii="Times New Roman" w:hAnsi="Times New Roman" w:cs="Times New Roman"/>
                <w:sz w:val="18"/>
                <w:szCs w:val="18"/>
              </w:rPr>
              <w:t>/</w:t>
            </w:r>
          </w:p>
          <w:p w:rsidR="00245D77" w:rsidRPr="000C1601" w:rsidRDefault="00245D77" w:rsidP="002A0C50">
            <w:pPr>
              <w:rPr>
                <w:rFonts w:ascii="Times New Roman" w:hAnsi="Times New Roman" w:cs="Times New Roman"/>
                <w:sz w:val="18"/>
                <w:szCs w:val="18"/>
              </w:rPr>
            </w:pPr>
            <w:r w:rsidRPr="000C1601">
              <w:rPr>
                <w:rFonts w:ascii="Times New Roman" w:hAnsi="Times New Roman" w:cs="Times New Roman"/>
                <w:sz w:val="18"/>
                <w:szCs w:val="18"/>
              </w:rPr>
              <w:lastRenderedPageBreak/>
              <w:t>М.П.</w:t>
            </w:r>
          </w:p>
        </w:tc>
      </w:tr>
    </w:tbl>
    <w:p w:rsidR="00245D77" w:rsidRPr="000C1601" w:rsidRDefault="00245D77" w:rsidP="00245D77">
      <w:pPr>
        <w:rPr>
          <w:sz w:val="18"/>
          <w:szCs w:val="18"/>
        </w:rPr>
      </w:pPr>
    </w:p>
    <w:p w:rsidR="00245D77" w:rsidRDefault="00245D77" w:rsidP="009B7BBE">
      <w:pPr>
        <w:rPr>
          <w:sz w:val="18"/>
          <w:szCs w:val="18"/>
        </w:rPr>
      </w:pPr>
    </w:p>
    <w:p w:rsidR="00706A96" w:rsidRDefault="00706A96" w:rsidP="009B7BBE">
      <w:pPr>
        <w:rPr>
          <w:sz w:val="18"/>
          <w:szCs w:val="18"/>
        </w:rPr>
      </w:pPr>
    </w:p>
    <w:p w:rsidR="00706A96" w:rsidRDefault="00706A96" w:rsidP="009B7BBE">
      <w:pPr>
        <w:rPr>
          <w:sz w:val="18"/>
          <w:szCs w:val="18"/>
        </w:rPr>
      </w:pPr>
    </w:p>
    <w:p w:rsidR="00706A96" w:rsidRDefault="00706A96" w:rsidP="009B7BBE">
      <w:pPr>
        <w:rPr>
          <w:sz w:val="18"/>
          <w:szCs w:val="18"/>
        </w:rPr>
      </w:pPr>
    </w:p>
    <w:p w:rsidR="00706A96" w:rsidRDefault="00706A96" w:rsidP="009B7BBE">
      <w:pPr>
        <w:rPr>
          <w:sz w:val="18"/>
          <w:szCs w:val="18"/>
        </w:rPr>
      </w:pPr>
    </w:p>
    <w:sectPr w:rsidR="00706A96" w:rsidSect="006747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9D21AB"/>
    <w:multiLevelType w:val="hybridMultilevel"/>
    <w:tmpl w:val="9EC2193A"/>
    <w:lvl w:ilvl="0" w:tplc="9D80C28A">
      <w:start w:val="1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6" w15:restartNumberingAfterBreak="0">
    <w:nsid w:val="280635E0"/>
    <w:multiLevelType w:val="multilevel"/>
    <w:tmpl w:val="233C0488"/>
    <w:lvl w:ilvl="0">
      <w:start w:val="1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39965D8B"/>
    <w:multiLevelType w:val="multilevel"/>
    <w:tmpl w:val="CA968464"/>
    <w:lvl w:ilvl="0">
      <w:start w:val="1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9E50FA9"/>
    <w:multiLevelType w:val="multilevel"/>
    <w:tmpl w:val="FA1EFD8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10"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3" w15:restartNumberingAfterBreak="0">
    <w:nsid w:val="54FC0BAF"/>
    <w:multiLevelType w:val="multilevel"/>
    <w:tmpl w:val="F11456AC"/>
    <w:lvl w:ilvl="0">
      <w:start w:val="11"/>
      <w:numFmt w:val="decimal"/>
      <w:lvlText w:val="%1."/>
      <w:lvlJc w:val="left"/>
      <w:pPr>
        <w:ind w:left="480" w:hanging="480"/>
      </w:pPr>
      <w:rPr>
        <w:rFonts w:hint="default"/>
      </w:rPr>
    </w:lvl>
    <w:lvl w:ilvl="1">
      <w:start w:val="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6586149D"/>
    <w:multiLevelType w:val="hybridMultilevel"/>
    <w:tmpl w:val="BFD4E43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FC57AE"/>
    <w:multiLevelType w:val="multilevel"/>
    <w:tmpl w:val="FE78F96E"/>
    <w:lvl w:ilvl="0">
      <w:start w:val="11"/>
      <w:numFmt w:val="decimal"/>
      <w:lvlText w:val="%1."/>
      <w:lvlJc w:val="left"/>
      <w:pPr>
        <w:ind w:left="480" w:hanging="480"/>
      </w:pPr>
      <w:rPr>
        <w:rFonts w:hint="default"/>
      </w:rPr>
    </w:lvl>
    <w:lvl w:ilvl="1">
      <w:start w:val="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
  </w:num>
  <w:num w:numId="2">
    <w:abstractNumId w:val="15"/>
  </w:num>
  <w:num w:numId="3">
    <w:abstractNumId w:val="17"/>
  </w:num>
  <w:num w:numId="4">
    <w:abstractNumId w:val="1"/>
  </w:num>
  <w:num w:numId="5">
    <w:abstractNumId w:val="8"/>
  </w:num>
  <w:num w:numId="6">
    <w:abstractNumId w:val="14"/>
  </w:num>
  <w:num w:numId="7">
    <w:abstractNumId w:val="11"/>
  </w:num>
  <w:num w:numId="8">
    <w:abstractNumId w:val="0"/>
  </w:num>
  <w:num w:numId="9">
    <w:abstractNumId w:val="10"/>
  </w:num>
  <w:num w:numId="10">
    <w:abstractNumId w:val="16"/>
  </w:num>
  <w:num w:numId="11">
    <w:abstractNumId w:val="12"/>
  </w:num>
  <w:num w:numId="12">
    <w:abstractNumId w:val="5"/>
  </w:num>
  <w:num w:numId="13">
    <w:abstractNumId w:val="2"/>
  </w:num>
  <w:num w:numId="14">
    <w:abstractNumId w:val="18"/>
  </w:num>
  <w:num w:numId="15">
    <w:abstractNumId w:val="4"/>
  </w:num>
  <w:num w:numId="16">
    <w:abstractNumId w:val="6"/>
  </w:num>
  <w:num w:numId="17">
    <w:abstractNumId w:val="7"/>
  </w:num>
  <w:num w:numId="18">
    <w:abstractNumId w:val="9"/>
  </w:num>
  <w:num w:numId="19">
    <w:abstractNumId w:val="1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A47FB"/>
    <w:rsid w:val="000A6B69"/>
    <w:rsid w:val="000B04DF"/>
    <w:rsid w:val="000C0E36"/>
    <w:rsid w:val="000C1601"/>
    <w:rsid w:val="000C7ACC"/>
    <w:rsid w:val="000D4D07"/>
    <w:rsid w:val="000E6724"/>
    <w:rsid w:val="00113AD1"/>
    <w:rsid w:val="001156C9"/>
    <w:rsid w:val="00116BD3"/>
    <w:rsid w:val="00130753"/>
    <w:rsid w:val="001355DD"/>
    <w:rsid w:val="00136002"/>
    <w:rsid w:val="00143469"/>
    <w:rsid w:val="0014704E"/>
    <w:rsid w:val="001578A0"/>
    <w:rsid w:val="00160C17"/>
    <w:rsid w:val="0017218E"/>
    <w:rsid w:val="00191A52"/>
    <w:rsid w:val="001929A7"/>
    <w:rsid w:val="00193A8D"/>
    <w:rsid w:val="0019551E"/>
    <w:rsid w:val="001A2A97"/>
    <w:rsid w:val="001B568F"/>
    <w:rsid w:val="001C169C"/>
    <w:rsid w:val="001C31E7"/>
    <w:rsid w:val="001D1174"/>
    <w:rsid w:val="001D671D"/>
    <w:rsid w:val="001E00C4"/>
    <w:rsid w:val="001F42AB"/>
    <w:rsid w:val="002354F4"/>
    <w:rsid w:val="00241F92"/>
    <w:rsid w:val="00245D77"/>
    <w:rsid w:val="00245F53"/>
    <w:rsid w:val="00252532"/>
    <w:rsid w:val="0026391E"/>
    <w:rsid w:val="002666FF"/>
    <w:rsid w:val="00280A51"/>
    <w:rsid w:val="002909BF"/>
    <w:rsid w:val="002A0C50"/>
    <w:rsid w:val="002A2867"/>
    <w:rsid w:val="002A56E1"/>
    <w:rsid w:val="002A5912"/>
    <w:rsid w:val="002C18B7"/>
    <w:rsid w:val="002D03E5"/>
    <w:rsid w:val="002D05C4"/>
    <w:rsid w:val="002D1771"/>
    <w:rsid w:val="002E0907"/>
    <w:rsid w:val="002E3478"/>
    <w:rsid w:val="002F2818"/>
    <w:rsid w:val="0030074B"/>
    <w:rsid w:val="00300E63"/>
    <w:rsid w:val="00302B09"/>
    <w:rsid w:val="00310B39"/>
    <w:rsid w:val="00315566"/>
    <w:rsid w:val="00322393"/>
    <w:rsid w:val="003254D4"/>
    <w:rsid w:val="00340456"/>
    <w:rsid w:val="00352506"/>
    <w:rsid w:val="00391A94"/>
    <w:rsid w:val="00394385"/>
    <w:rsid w:val="003959D7"/>
    <w:rsid w:val="003C6EE7"/>
    <w:rsid w:val="003D612A"/>
    <w:rsid w:val="003D651C"/>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F2FD5"/>
    <w:rsid w:val="00626E46"/>
    <w:rsid w:val="00642ABE"/>
    <w:rsid w:val="00643C8D"/>
    <w:rsid w:val="0067477B"/>
    <w:rsid w:val="00675515"/>
    <w:rsid w:val="00687F21"/>
    <w:rsid w:val="0069044D"/>
    <w:rsid w:val="00694FF9"/>
    <w:rsid w:val="006950E5"/>
    <w:rsid w:val="0069725A"/>
    <w:rsid w:val="006A1823"/>
    <w:rsid w:val="006A185C"/>
    <w:rsid w:val="006B48D7"/>
    <w:rsid w:val="006B77BD"/>
    <w:rsid w:val="006C4670"/>
    <w:rsid w:val="006C70A4"/>
    <w:rsid w:val="006D1E1B"/>
    <w:rsid w:val="006D2DA8"/>
    <w:rsid w:val="006D6150"/>
    <w:rsid w:val="006E5A45"/>
    <w:rsid w:val="00700377"/>
    <w:rsid w:val="00706A96"/>
    <w:rsid w:val="00710DA2"/>
    <w:rsid w:val="00720801"/>
    <w:rsid w:val="00726A0A"/>
    <w:rsid w:val="007344A9"/>
    <w:rsid w:val="007413A7"/>
    <w:rsid w:val="00786264"/>
    <w:rsid w:val="00795C6B"/>
    <w:rsid w:val="007B398B"/>
    <w:rsid w:val="007D38D4"/>
    <w:rsid w:val="007D40ED"/>
    <w:rsid w:val="007D5E8C"/>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4906"/>
    <w:rsid w:val="0092799D"/>
    <w:rsid w:val="009314F7"/>
    <w:rsid w:val="00933A17"/>
    <w:rsid w:val="00957258"/>
    <w:rsid w:val="00964189"/>
    <w:rsid w:val="00964A9E"/>
    <w:rsid w:val="0097082E"/>
    <w:rsid w:val="0097276D"/>
    <w:rsid w:val="00972ED8"/>
    <w:rsid w:val="009747F3"/>
    <w:rsid w:val="00981FF2"/>
    <w:rsid w:val="009A0DF2"/>
    <w:rsid w:val="009B1F14"/>
    <w:rsid w:val="009B29A4"/>
    <w:rsid w:val="009B2F51"/>
    <w:rsid w:val="009B7BBE"/>
    <w:rsid w:val="009C5F55"/>
    <w:rsid w:val="009E0139"/>
    <w:rsid w:val="009E285E"/>
    <w:rsid w:val="009E33E5"/>
    <w:rsid w:val="009F6DDD"/>
    <w:rsid w:val="00A0255C"/>
    <w:rsid w:val="00A06170"/>
    <w:rsid w:val="00A13A76"/>
    <w:rsid w:val="00A254C0"/>
    <w:rsid w:val="00A35BDF"/>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5697A"/>
    <w:rsid w:val="00B60369"/>
    <w:rsid w:val="00B67F5D"/>
    <w:rsid w:val="00B71B06"/>
    <w:rsid w:val="00BA57D2"/>
    <w:rsid w:val="00BA64E9"/>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87C"/>
    <w:rsid w:val="00CB069B"/>
    <w:rsid w:val="00CB685A"/>
    <w:rsid w:val="00CC1A11"/>
    <w:rsid w:val="00CE2624"/>
    <w:rsid w:val="00D04395"/>
    <w:rsid w:val="00D11840"/>
    <w:rsid w:val="00D32325"/>
    <w:rsid w:val="00D335DC"/>
    <w:rsid w:val="00D335FF"/>
    <w:rsid w:val="00D40937"/>
    <w:rsid w:val="00D437B8"/>
    <w:rsid w:val="00D53A2C"/>
    <w:rsid w:val="00D601C3"/>
    <w:rsid w:val="00D70B5C"/>
    <w:rsid w:val="00D737C5"/>
    <w:rsid w:val="00D85E17"/>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402D9"/>
    <w:rsid w:val="00E53BD4"/>
    <w:rsid w:val="00E734D5"/>
    <w:rsid w:val="00E80B98"/>
    <w:rsid w:val="00E86954"/>
    <w:rsid w:val="00E9079B"/>
    <w:rsid w:val="00E919CF"/>
    <w:rsid w:val="00EA1457"/>
    <w:rsid w:val="00EA2BEA"/>
    <w:rsid w:val="00EB09B9"/>
    <w:rsid w:val="00EC156F"/>
    <w:rsid w:val="00EC19B1"/>
    <w:rsid w:val="00EC428E"/>
    <w:rsid w:val="00EF67BC"/>
    <w:rsid w:val="00F04FBC"/>
    <w:rsid w:val="00F1749D"/>
    <w:rsid w:val="00F20AA5"/>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B622B"/>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434A4-0C94-4C37-848E-12F13C02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4244</Words>
  <Characters>24195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6</cp:revision>
  <dcterms:created xsi:type="dcterms:W3CDTF">2023-02-17T06:04:00Z</dcterms:created>
  <dcterms:modified xsi:type="dcterms:W3CDTF">2023-04-27T08:13:00Z</dcterms:modified>
</cp:coreProperties>
</file>